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4D779">
      <w:pPr>
        <w:jc w:val="center"/>
        <w:rPr>
          <w:rFonts w:hint="eastAsia" w:ascii="宋体" w:hAnsi="宋体"/>
          <w:b/>
          <w:sz w:val="52"/>
          <w:szCs w:val="52"/>
        </w:rPr>
      </w:pPr>
    </w:p>
    <w:p w14:paraId="1D76B54A">
      <w:pPr>
        <w:spacing w:line="360" w:lineRule="auto"/>
        <w:jc w:val="center"/>
        <w:rPr>
          <w:rFonts w:hint="eastAsia" w:ascii="宋体" w:hAnsi="宋体"/>
          <w:b/>
          <w:sz w:val="48"/>
          <w:szCs w:val="48"/>
        </w:rPr>
      </w:pPr>
    </w:p>
    <w:p w14:paraId="21177060">
      <w:pPr>
        <w:spacing w:line="360" w:lineRule="auto"/>
        <w:jc w:val="center"/>
        <w:rPr>
          <w:rFonts w:hint="eastAsia" w:ascii="宋体" w:hAnsi="宋体"/>
          <w:b/>
          <w:sz w:val="48"/>
          <w:szCs w:val="48"/>
        </w:rPr>
      </w:pPr>
    </w:p>
    <w:p w14:paraId="28DAE476">
      <w:pPr>
        <w:spacing w:line="360" w:lineRule="auto"/>
        <w:jc w:val="center"/>
        <w:rPr>
          <w:rFonts w:ascii="宋体"/>
          <w:b/>
          <w:sz w:val="48"/>
          <w:szCs w:val="48"/>
        </w:rPr>
      </w:pPr>
      <w:r>
        <w:rPr>
          <w:rFonts w:hint="eastAsia" w:ascii="宋体" w:hAnsi="宋体"/>
          <w:b/>
          <w:sz w:val="48"/>
          <w:szCs w:val="48"/>
        </w:rPr>
        <w:t>永城煤电控股集团有限公司</w:t>
      </w:r>
    </w:p>
    <w:p w14:paraId="0237D656">
      <w:pPr>
        <w:spacing w:line="360" w:lineRule="auto"/>
        <w:jc w:val="center"/>
        <w:rPr>
          <w:rFonts w:hint="eastAsia" w:ascii="华文中宋" w:hAnsi="华文中宋" w:eastAsia="华文中宋"/>
          <w:sz w:val="48"/>
          <w:szCs w:val="48"/>
        </w:rPr>
      </w:pPr>
      <w:r>
        <w:rPr>
          <w:rFonts w:hint="eastAsia" w:ascii="宋体" w:hAnsi="宋体"/>
          <w:b/>
          <w:sz w:val="48"/>
          <w:szCs w:val="48"/>
        </w:rPr>
        <w:t>产学研项目榜单发布公告</w:t>
      </w:r>
    </w:p>
    <w:p w14:paraId="0B7AB7DB">
      <w:pPr>
        <w:spacing w:line="440" w:lineRule="exact"/>
        <w:jc w:val="center"/>
        <w:rPr>
          <w:rFonts w:hint="eastAsia" w:ascii="华文中宋" w:hAnsi="华文中宋" w:eastAsia="华文中宋"/>
          <w:sz w:val="36"/>
          <w:szCs w:val="36"/>
        </w:rPr>
      </w:pPr>
    </w:p>
    <w:p w14:paraId="0893F12D">
      <w:pPr>
        <w:spacing w:line="440" w:lineRule="exact"/>
        <w:jc w:val="center"/>
        <w:rPr>
          <w:rFonts w:hint="eastAsia" w:ascii="华文中宋" w:hAnsi="华文中宋" w:eastAsia="华文中宋"/>
          <w:sz w:val="36"/>
          <w:szCs w:val="36"/>
        </w:rPr>
      </w:pPr>
    </w:p>
    <w:p w14:paraId="1896DCA8">
      <w:pPr>
        <w:spacing w:line="440" w:lineRule="exact"/>
        <w:jc w:val="center"/>
        <w:rPr>
          <w:rFonts w:hint="eastAsia" w:ascii="华文中宋" w:hAnsi="华文中宋" w:eastAsia="华文中宋"/>
          <w:sz w:val="36"/>
          <w:szCs w:val="36"/>
        </w:rPr>
      </w:pPr>
    </w:p>
    <w:p w14:paraId="085CDA7A">
      <w:pPr>
        <w:spacing w:line="440" w:lineRule="exact"/>
        <w:jc w:val="center"/>
        <w:rPr>
          <w:rFonts w:hint="eastAsia" w:ascii="华文中宋" w:hAnsi="华文中宋" w:eastAsia="华文中宋"/>
          <w:sz w:val="36"/>
          <w:szCs w:val="36"/>
        </w:rPr>
      </w:pPr>
    </w:p>
    <w:p w14:paraId="573CA6D4">
      <w:pPr>
        <w:spacing w:line="440" w:lineRule="exact"/>
        <w:jc w:val="center"/>
        <w:rPr>
          <w:rFonts w:ascii="宋体"/>
          <w:sz w:val="44"/>
          <w:szCs w:val="44"/>
        </w:rPr>
      </w:pPr>
    </w:p>
    <w:p w14:paraId="073B802E">
      <w:pPr>
        <w:spacing w:line="440" w:lineRule="exact"/>
        <w:jc w:val="center"/>
        <w:rPr>
          <w:rFonts w:ascii="宋体"/>
          <w:sz w:val="44"/>
          <w:szCs w:val="44"/>
        </w:rPr>
      </w:pPr>
    </w:p>
    <w:p w14:paraId="3D5666FF">
      <w:pPr>
        <w:spacing w:line="440" w:lineRule="exact"/>
        <w:jc w:val="center"/>
        <w:rPr>
          <w:rFonts w:ascii="宋体"/>
          <w:sz w:val="44"/>
          <w:szCs w:val="44"/>
        </w:rPr>
      </w:pPr>
    </w:p>
    <w:p w14:paraId="3EEC5C91">
      <w:pPr>
        <w:spacing w:line="440" w:lineRule="exact"/>
        <w:jc w:val="center"/>
        <w:rPr>
          <w:rFonts w:ascii="宋体"/>
          <w:sz w:val="44"/>
          <w:szCs w:val="44"/>
        </w:rPr>
      </w:pPr>
    </w:p>
    <w:p w14:paraId="31FC0E94">
      <w:pPr>
        <w:spacing w:line="440" w:lineRule="exact"/>
        <w:jc w:val="center"/>
        <w:rPr>
          <w:rFonts w:ascii="宋体"/>
          <w:sz w:val="44"/>
          <w:szCs w:val="44"/>
        </w:rPr>
      </w:pPr>
    </w:p>
    <w:p w14:paraId="5749248E">
      <w:pPr>
        <w:spacing w:line="440" w:lineRule="exact"/>
        <w:jc w:val="center"/>
        <w:rPr>
          <w:rFonts w:ascii="宋体"/>
          <w:sz w:val="44"/>
          <w:szCs w:val="44"/>
        </w:rPr>
      </w:pPr>
    </w:p>
    <w:p w14:paraId="331410D7">
      <w:pPr>
        <w:spacing w:line="440" w:lineRule="exact"/>
        <w:ind w:firstLine="960" w:firstLineChars="300"/>
        <w:jc w:val="left"/>
        <w:rPr>
          <w:rFonts w:ascii="宋体"/>
          <w:sz w:val="32"/>
          <w:szCs w:val="32"/>
        </w:rPr>
      </w:pPr>
      <w:r>
        <w:rPr>
          <w:rFonts w:hint="eastAsia" w:ascii="宋体"/>
          <w:sz w:val="32"/>
          <w:szCs w:val="32"/>
        </w:rPr>
        <w:t>发 榜 人：永城煤电控股集团有限公司</w:t>
      </w:r>
    </w:p>
    <w:p w14:paraId="25BC8A42">
      <w:pPr>
        <w:spacing w:line="440" w:lineRule="exact"/>
        <w:ind w:firstLine="960" w:firstLineChars="300"/>
        <w:jc w:val="left"/>
        <w:rPr>
          <w:rFonts w:ascii="宋体"/>
          <w:sz w:val="32"/>
          <w:szCs w:val="32"/>
        </w:rPr>
      </w:pPr>
      <w:r>
        <w:rPr>
          <w:rFonts w:hint="eastAsia" w:ascii="宋体"/>
          <w:sz w:val="32"/>
          <w:szCs w:val="32"/>
        </w:rPr>
        <w:t>项目单位:</w:t>
      </w:r>
      <w:r>
        <w:rPr>
          <w:rFonts w:hint="eastAsia"/>
        </w:rPr>
        <w:t xml:space="preserve"> </w:t>
      </w:r>
      <w:r>
        <w:rPr>
          <w:rFonts w:hint="eastAsia" w:ascii="宋体"/>
          <w:sz w:val="32"/>
          <w:szCs w:val="32"/>
        </w:rPr>
        <w:t>河南省正龙煤业有限公司</w:t>
      </w:r>
    </w:p>
    <w:p w14:paraId="2CFA084B">
      <w:pPr>
        <w:spacing w:line="440" w:lineRule="exact"/>
        <w:ind w:firstLine="960" w:firstLineChars="300"/>
        <w:jc w:val="left"/>
        <w:rPr>
          <w:rFonts w:ascii="宋体"/>
          <w:sz w:val="32"/>
          <w:szCs w:val="32"/>
          <w:highlight w:val="red"/>
        </w:rPr>
      </w:pPr>
      <w:r>
        <w:rPr>
          <w:rFonts w:hint="eastAsia" w:ascii="宋体"/>
          <w:sz w:val="32"/>
          <w:szCs w:val="32"/>
        </w:rPr>
        <w:t>项目名称：城郊煤矿“压-注-切”一体化沿空留巷围岩变形控制技术研究</w:t>
      </w:r>
    </w:p>
    <w:p w14:paraId="7324906E">
      <w:pPr>
        <w:spacing w:line="400" w:lineRule="exact"/>
        <w:ind w:firstLine="643" w:firstLineChars="200"/>
        <w:rPr>
          <w:rFonts w:ascii="宋体"/>
          <w:b/>
          <w:sz w:val="32"/>
          <w:szCs w:val="32"/>
        </w:rPr>
      </w:pPr>
    </w:p>
    <w:p w14:paraId="7D098B71">
      <w:pPr>
        <w:spacing w:line="400" w:lineRule="exact"/>
        <w:ind w:firstLine="2570" w:firstLineChars="800"/>
        <w:rPr>
          <w:rFonts w:ascii="宋体"/>
          <w:b/>
          <w:sz w:val="32"/>
          <w:szCs w:val="32"/>
        </w:rPr>
      </w:pPr>
    </w:p>
    <w:p w14:paraId="450DFFDD">
      <w:pPr>
        <w:spacing w:line="400" w:lineRule="exact"/>
        <w:ind w:firstLine="643" w:firstLineChars="200"/>
        <w:rPr>
          <w:rFonts w:ascii="宋体"/>
          <w:b/>
          <w:sz w:val="32"/>
          <w:szCs w:val="32"/>
        </w:rPr>
      </w:pPr>
    </w:p>
    <w:p w14:paraId="39DB3947">
      <w:pPr>
        <w:jc w:val="center"/>
        <w:rPr>
          <w:rFonts w:ascii="宋体"/>
          <w:b/>
          <w:spacing w:val="20"/>
          <w:sz w:val="32"/>
          <w:szCs w:val="32"/>
        </w:rPr>
      </w:pPr>
    </w:p>
    <w:p w14:paraId="2C03992C">
      <w:pPr>
        <w:jc w:val="center"/>
        <w:rPr>
          <w:rFonts w:ascii="宋体"/>
          <w:spacing w:val="20"/>
          <w:sz w:val="32"/>
          <w:szCs w:val="32"/>
        </w:rPr>
        <w:sectPr>
          <w:headerReference r:id="rId4" w:type="first"/>
          <w:footerReference r:id="rId6" w:type="first"/>
          <w:headerReference r:id="rId3" w:type="default"/>
          <w:footerReference r:id="rId5" w:type="default"/>
          <w:pgSz w:w="11906" w:h="16838"/>
          <w:pgMar w:top="1134" w:right="1134" w:bottom="1134" w:left="1134" w:header="851" w:footer="992" w:gutter="0"/>
          <w:pgNumType w:fmt="numberInDash"/>
          <w:cols w:space="720" w:num="1"/>
          <w:titlePg/>
          <w:docGrid w:linePitch="312" w:charSpace="0"/>
        </w:sectPr>
      </w:pPr>
      <w:r>
        <w:rPr>
          <w:rFonts w:ascii="宋体" w:hAnsi="宋体"/>
          <w:spacing w:val="20"/>
          <w:sz w:val="32"/>
          <w:szCs w:val="32"/>
        </w:rPr>
        <w:t>20</w:t>
      </w:r>
      <w:r>
        <w:rPr>
          <w:rFonts w:hint="eastAsia" w:ascii="宋体" w:hAnsi="宋体"/>
          <w:spacing w:val="20"/>
          <w:sz w:val="32"/>
          <w:szCs w:val="32"/>
        </w:rPr>
        <w:t>25年3月</w:t>
      </w:r>
    </w:p>
    <w:p w14:paraId="1FAAC6C6">
      <w:pPr>
        <w:tabs>
          <w:tab w:val="left" w:pos="2340"/>
        </w:tabs>
        <w:spacing w:before="240" w:beforeLines="100" w:after="240" w:afterLines="100" w:line="500" w:lineRule="exact"/>
        <w:rPr>
          <w:rFonts w:ascii="宋体" w:cs="仿宋_GB2312"/>
          <w:sz w:val="30"/>
          <w:szCs w:val="30"/>
        </w:rPr>
      </w:pPr>
    </w:p>
    <w:p w14:paraId="6E237B13">
      <w:pPr>
        <w:tabs>
          <w:tab w:val="left" w:pos="2340"/>
        </w:tabs>
        <w:spacing w:before="240" w:beforeLines="100" w:after="240" w:afterLines="100" w:line="500" w:lineRule="exact"/>
        <w:rPr>
          <w:rFonts w:ascii="宋体" w:cs="仿宋_GB2312"/>
          <w:sz w:val="30"/>
          <w:szCs w:val="30"/>
        </w:rPr>
      </w:pPr>
    </w:p>
    <w:p w14:paraId="1A03471E">
      <w:pPr>
        <w:tabs>
          <w:tab w:val="left" w:pos="2340"/>
        </w:tabs>
        <w:spacing w:before="240" w:beforeLines="100" w:after="240" w:afterLines="100" w:line="500" w:lineRule="exact"/>
        <w:jc w:val="center"/>
        <w:rPr>
          <w:rFonts w:hint="eastAsia" w:ascii="黑体" w:hAnsi="黑体" w:eastAsia="黑体"/>
          <w:b/>
          <w:sz w:val="48"/>
          <w:szCs w:val="48"/>
        </w:rPr>
      </w:pPr>
      <w:r>
        <w:rPr>
          <w:rFonts w:hint="eastAsia" w:ascii="黑体" w:hAnsi="黑体" w:eastAsia="黑体"/>
          <w:b/>
          <w:sz w:val="48"/>
          <w:szCs w:val="48"/>
        </w:rPr>
        <w:t>目录</w:t>
      </w:r>
    </w:p>
    <w:p w14:paraId="55518981">
      <w:pPr>
        <w:tabs>
          <w:tab w:val="left" w:pos="2340"/>
        </w:tabs>
        <w:spacing w:before="240" w:beforeLines="100" w:after="240" w:afterLines="100" w:line="500" w:lineRule="exact"/>
        <w:jc w:val="center"/>
        <w:rPr>
          <w:rFonts w:hint="eastAsia" w:ascii="黑体" w:hAnsi="黑体" w:eastAsia="黑体"/>
          <w:b/>
          <w:sz w:val="44"/>
          <w:szCs w:val="44"/>
        </w:rPr>
      </w:pPr>
    </w:p>
    <w:p w14:paraId="79A8533D">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一、揭榜须知</w:t>
      </w:r>
    </w:p>
    <w:p w14:paraId="03FBEB90">
      <w:pPr>
        <w:widowControl/>
        <w:tabs>
          <w:tab w:val="left" w:pos="2340"/>
        </w:tabs>
        <w:spacing w:line="500" w:lineRule="exact"/>
        <w:ind w:left="1620"/>
        <w:jc w:val="left"/>
        <w:rPr>
          <w:rFonts w:hint="eastAsia" w:ascii="黑体" w:hAnsi="黑体" w:eastAsia="黑体"/>
          <w:sz w:val="36"/>
          <w:szCs w:val="36"/>
        </w:rPr>
      </w:pPr>
    </w:p>
    <w:p w14:paraId="78077F60">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二、项目技术要求</w:t>
      </w:r>
    </w:p>
    <w:p w14:paraId="4EC02D1B">
      <w:pPr>
        <w:widowControl/>
        <w:tabs>
          <w:tab w:val="left" w:pos="2340"/>
        </w:tabs>
        <w:spacing w:line="500" w:lineRule="exact"/>
        <w:ind w:left="1620"/>
        <w:jc w:val="left"/>
        <w:rPr>
          <w:rFonts w:hint="eastAsia" w:ascii="黑体" w:hAnsi="黑体" w:eastAsia="黑体"/>
          <w:sz w:val="36"/>
          <w:szCs w:val="36"/>
        </w:rPr>
      </w:pPr>
    </w:p>
    <w:p w14:paraId="4D62F189">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三、揭榜申请书及投榜书编制</w:t>
      </w:r>
    </w:p>
    <w:p w14:paraId="36EAC15E">
      <w:pPr>
        <w:widowControl/>
        <w:tabs>
          <w:tab w:val="left" w:pos="2340"/>
        </w:tabs>
        <w:spacing w:line="500" w:lineRule="exact"/>
        <w:ind w:left="1620"/>
        <w:jc w:val="left"/>
        <w:rPr>
          <w:rFonts w:hint="eastAsia" w:ascii="黑体" w:hAnsi="黑体" w:eastAsia="黑体"/>
          <w:sz w:val="36"/>
          <w:szCs w:val="36"/>
        </w:rPr>
      </w:pPr>
    </w:p>
    <w:p w14:paraId="2AF9660A">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四、投榜书递交</w:t>
      </w:r>
    </w:p>
    <w:p w14:paraId="21F08F41">
      <w:pPr>
        <w:widowControl/>
        <w:tabs>
          <w:tab w:val="left" w:pos="2340"/>
        </w:tabs>
        <w:spacing w:line="500" w:lineRule="exact"/>
        <w:ind w:left="1620"/>
        <w:jc w:val="left"/>
        <w:rPr>
          <w:rFonts w:hint="eastAsia" w:ascii="黑体" w:hAnsi="黑体" w:eastAsia="黑体"/>
          <w:sz w:val="36"/>
          <w:szCs w:val="36"/>
        </w:rPr>
      </w:pPr>
    </w:p>
    <w:p w14:paraId="4356FF4B">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五、评榜选帅</w:t>
      </w:r>
    </w:p>
    <w:p w14:paraId="07C6FD30">
      <w:pPr>
        <w:widowControl/>
        <w:tabs>
          <w:tab w:val="left" w:pos="2340"/>
        </w:tabs>
        <w:spacing w:line="500" w:lineRule="exact"/>
        <w:ind w:left="1620"/>
        <w:jc w:val="left"/>
        <w:rPr>
          <w:rFonts w:hint="eastAsia" w:ascii="黑体" w:hAnsi="黑体" w:eastAsia="黑体"/>
          <w:b/>
          <w:sz w:val="36"/>
          <w:szCs w:val="36"/>
        </w:rPr>
      </w:pPr>
    </w:p>
    <w:p w14:paraId="1D65CE0C">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六、中榜挂帅</w:t>
      </w:r>
    </w:p>
    <w:p w14:paraId="35227EFC">
      <w:pPr>
        <w:widowControl/>
        <w:tabs>
          <w:tab w:val="left" w:pos="2340"/>
        </w:tabs>
        <w:spacing w:line="500" w:lineRule="exact"/>
        <w:ind w:left="1620"/>
        <w:jc w:val="left"/>
        <w:rPr>
          <w:rFonts w:hint="eastAsia" w:ascii="黑体" w:hAnsi="黑体" w:eastAsia="黑体"/>
          <w:sz w:val="36"/>
          <w:szCs w:val="36"/>
        </w:rPr>
      </w:pPr>
    </w:p>
    <w:p w14:paraId="62E5E099">
      <w:pPr>
        <w:widowControl/>
        <w:tabs>
          <w:tab w:val="left" w:pos="2340"/>
        </w:tabs>
        <w:spacing w:line="500" w:lineRule="exact"/>
        <w:ind w:left="1620"/>
        <w:jc w:val="left"/>
        <w:rPr>
          <w:rFonts w:hint="eastAsia" w:ascii="黑体" w:hAnsi="黑体" w:eastAsia="黑体"/>
          <w:sz w:val="36"/>
          <w:szCs w:val="36"/>
        </w:rPr>
      </w:pPr>
      <w:r>
        <w:rPr>
          <w:rFonts w:hint="eastAsia" w:ascii="黑体" w:hAnsi="黑体" w:eastAsia="黑体"/>
          <w:sz w:val="36"/>
          <w:szCs w:val="36"/>
        </w:rPr>
        <w:t>七、签军令状</w:t>
      </w:r>
    </w:p>
    <w:p w14:paraId="1DBB480E">
      <w:pPr>
        <w:widowControl/>
        <w:tabs>
          <w:tab w:val="left" w:pos="2340"/>
        </w:tabs>
        <w:spacing w:line="500" w:lineRule="exact"/>
        <w:ind w:left="1620"/>
        <w:jc w:val="left"/>
        <w:rPr>
          <w:rFonts w:hint="eastAsia" w:ascii="黑体" w:hAnsi="黑体" w:eastAsia="黑体"/>
          <w:sz w:val="36"/>
          <w:szCs w:val="36"/>
        </w:rPr>
      </w:pPr>
    </w:p>
    <w:p w14:paraId="7A83CE5C">
      <w:pPr>
        <w:jc w:val="center"/>
        <w:rPr>
          <w:rFonts w:hint="eastAsia" w:ascii="宋体" w:hAnsi="宋体" w:eastAsia="黑体"/>
          <w:b/>
          <w:sz w:val="28"/>
          <w:szCs w:val="28"/>
        </w:rPr>
      </w:pPr>
    </w:p>
    <w:p w14:paraId="0A3D244A">
      <w:pPr>
        <w:jc w:val="center"/>
        <w:rPr>
          <w:rFonts w:hint="eastAsia" w:ascii="宋体" w:hAnsi="宋体" w:eastAsia="黑体"/>
          <w:b/>
          <w:sz w:val="28"/>
          <w:szCs w:val="28"/>
        </w:rPr>
      </w:pPr>
    </w:p>
    <w:p w14:paraId="687BE8DF">
      <w:pPr>
        <w:jc w:val="center"/>
        <w:rPr>
          <w:rFonts w:hint="eastAsia" w:ascii="宋体" w:hAnsi="宋体" w:eastAsia="黑体"/>
          <w:b/>
          <w:sz w:val="28"/>
          <w:szCs w:val="28"/>
        </w:rPr>
      </w:pPr>
    </w:p>
    <w:p w14:paraId="5570F1CF">
      <w:pPr>
        <w:jc w:val="center"/>
        <w:rPr>
          <w:rFonts w:hint="eastAsia" w:ascii="宋体" w:hAnsi="宋体" w:eastAsia="黑体"/>
          <w:b/>
          <w:sz w:val="28"/>
          <w:szCs w:val="28"/>
        </w:rPr>
      </w:pPr>
    </w:p>
    <w:p w14:paraId="7108DC7C">
      <w:pPr>
        <w:jc w:val="center"/>
        <w:rPr>
          <w:rFonts w:hint="eastAsia" w:ascii="宋体" w:hAnsi="宋体" w:eastAsia="黑体"/>
          <w:b/>
          <w:sz w:val="28"/>
          <w:szCs w:val="28"/>
        </w:rPr>
      </w:pPr>
    </w:p>
    <w:p w14:paraId="1E89CCBB">
      <w:pPr>
        <w:jc w:val="center"/>
        <w:rPr>
          <w:rFonts w:hint="eastAsia" w:ascii="宋体" w:hAnsi="宋体" w:eastAsia="黑体"/>
          <w:b/>
          <w:sz w:val="28"/>
          <w:szCs w:val="28"/>
        </w:rPr>
      </w:pPr>
    </w:p>
    <w:p w14:paraId="09594D9A">
      <w:pPr>
        <w:jc w:val="center"/>
        <w:rPr>
          <w:rFonts w:hint="eastAsia" w:ascii="宋体" w:hAnsi="宋体" w:eastAsia="黑体"/>
          <w:b/>
          <w:sz w:val="28"/>
          <w:szCs w:val="28"/>
        </w:rPr>
      </w:pPr>
    </w:p>
    <w:p w14:paraId="5A03FA5D">
      <w:pPr>
        <w:jc w:val="center"/>
        <w:rPr>
          <w:rFonts w:hint="eastAsia" w:ascii="宋体" w:hAnsi="宋体" w:eastAsia="黑体"/>
          <w:b/>
          <w:sz w:val="28"/>
          <w:szCs w:val="28"/>
        </w:rPr>
      </w:pPr>
    </w:p>
    <w:p w14:paraId="6C00F479">
      <w:pPr>
        <w:jc w:val="center"/>
        <w:rPr>
          <w:rFonts w:hint="eastAsia" w:ascii="宋体" w:hAnsi="宋体" w:eastAsia="黑体"/>
          <w:b/>
          <w:sz w:val="28"/>
          <w:szCs w:val="28"/>
        </w:rPr>
      </w:pPr>
    </w:p>
    <w:p w14:paraId="28EA44D0">
      <w:pPr>
        <w:jc w:val="center"/>
        <w:rPr>
          <w:rFonts w:hint="eastAsia" w:ascii="宋体" w:hAnsi="宋体" w:eastAsia="黑体"/>
          <w:b/>
          <w:sz w:val="28"/>
          <w:szCs w:val="28"/>
        </w:rPr>
      </w:pPr>
    </w:p>
    <w:p w14:paraId="7A43EAFA">
      <w:pPr>
        <w:jc w:val="center"/>
        <w:rPr>
          <w:rFonts w:hint="eastAsia" w:ascii="宋体" w:hAnsi="宋体" w:eastAsia="黑体"/>
          <w:b/>
          <w:sz w:val="28"/>
          <w:szCs w:val="28"/>
        </w:rPr>
      </w:pPr>
    </w:p>
    <w:p w14:paraId="5121D738">
      <w:pPr>
        <w:jc w:val="center"/>
        <w:rPr>
          <w:rFonts w:hint="eastAsia" w:ascii="宋体" w:hAnsi="宋体" w:eastAsia="黑体"/>
          <w:b/>
          <w:sz w:val="28"/>
          <w:szCs w:val="28"/>
        </w:rPr>
      </w:pPr>
    </w:p>
    <w:p w14:paraId="4E1FFC13">
      <w:pPr>
        <w:pStyle w:val="2"/>
        <w:numPr>
          <w:ilvl w:val="0"/>
          <w:numId w:val="0"/>
        </w:numPr>
        <w:jc w:val="center"/>
      </w:pPr>
      <w:bookmarkStart w:id="0" w:name="_Toc231814776"/>
      <w:bookmarkStart w:id="1" w:name="_Toc491589959"/>
      <w:bookmarkStart w:id="2" w:name="_Toc145730880"/>
      <w:r>
        <w:rPr>
          <w:rFonts w:hint="eastAsia"/>
        </w:rPr>
        <w:t>一、揭榜须知</w:t>
      </w:r>
      <w:bookmarkEnd w:id="0"/>
      <w:bookmarkEnd w:id="1"/>
      <w:bookmarkEnd w:id="2"/>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9031"/>
      </w:tblGrid>
      <w:tr w14:paraId="08A1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711" w:type="dxa"/>
            <w:vAlign w:val="center"/>
          </w:tcPr>
          <w:p w14:paraId="3F5CB3EA">
            <w:pPr>
              <w:autoSpaceDE w:val="0"/>
              <w:autoSpaceDN w:val="0"/>
              <w:adjustRightInd w:val="0"/>
              <w:spacing w:line="320" w:lineRule="exact"/>
              <w:jc w:val="center"/>
              <w:rPr>
                <w:rFonts w:ascii="宋体"/>
                <w:b/>
                <w:kern w:val="0"/>
                <w:sz w:val="24"/>
              </w:rPr>
            </w:pPr>
            <w:r>
              <w:rPr>
                <w:rFonts w:hint="eastAsia" w:ascii="宋体" w:hAnsi="宋体"/>
                <w:b/>
                <w:kern w:val="0"/>
                <w:sz w:val="24"/>
              </w:rPr>
              <w:t>项目</w:t>
            </w:r>
          </w:p>
        </w:tc>
        <w:tc>
          <w:tcPr>
            <w:tcW w:w="9031" w:type="dxa"/>
            <w:vAlign w:val="center"/>
          </w:tcPr>
          <w:p w14:paraId="5C67E626">
            <w:pPr>
              <w:autoSpaceDE w:val="0"/>
              <w:autoSpaceDN w:val="0"/>
              <w:adjustRightInd w:val="0"/>
              <w:spacing w:line="320" w:lineRule="exact"/>
              <w:jc w:val="center"/>
              <w:rPr>
                <w:rFonts w:ascii="宋体"/>
                <w:b/>
                <w:kern w:val="0"/>
                <w:sz w:val="24"/>
              </w:rPr>
            </w:pPr>
            <w:r>
              <w:rPr>
                <w:rFonts w:hint="eastAsia" w:ascii="宋体" w:hAnsi="宋体"/>
                <w:b/>
                <w:kern w:val="0"/>
                <w:sz w:val="24"/>
              </w:rPr>
              <w:t>内容规定</w:t>
            </w:r>
          </w:p>
        </w:tc>
      </w:tr>
      <w:tr w14:paraId="5B77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711" w:type="dxa"/>
            <w:vAlign w:val="center"/>
          </w:tcPr>
          <w:p w14:paraId="047665D1">
            <w:pPr>
              <w:autoSpaceDE w:val="0"/>
              <w:autoSpaceDN w:val="0"/>
              <w:adjustRightInd w:val="0"/>
              <w:jc w:val="center"/>
              <w:rPr>
                <w:rFonts w:hint="eastAsia" w:ascii="宋体" w:hAnsi="宋体" w:eastAsia="仿宋_GB2312"/>
                <w:kern w:val="0"/>
                <w:sz w:val="24"/>
              </w:rPr>
            </w:pPr>
            <w:r>
              <w:rPr>
                <w:rFonts w:ascii="宋体" w:hAnsi="宋体" w:eastAsia="仿宋_GB2312"/>
                <w:kern w:val="0"/>
                <w:sz w:val="24"/>
              </w:rPr>
              <w:t>1</w:t>
            </w:r>
          </w:p>
        </w:tc>
        <w:tc>
          <w:tcPr>
            <w:tcW w:w="9031" w:type="dxa"/>
            <w:vAlign w:val="center"/>
          </w:tcPr>
          <w:p w14:paraId="07331463">
            <w:pPr>
              <w:spacing w:line="440" w:lineRule="exact"/>
              <w:jc w:val="left"/>
              <w:rPr>
                <w:rFonts w:ascii="宋体"/>
                <w:kern w:val="0"/>
                <w:sz w:val="24"/>
              </w:rPr>
            </w:pPr>
            <w:r>
              <w:rPr>
                <w:rFonts w:hint="eastAsia" w:ascii="宋体" w:hAnsi="宋体"/>
                <w:bCs/>
                <w:kern w:val="0"/>
                <w:sz w:val="24"/>
              </w:rPr>
              <w:t>发榜项目名称：城郊煤矿“压-注-切”一体化沿空留巷围岩变形控制技术研究</w:t>
            </w:r>
          </w:p>
        </w:tc>
      </w:tr>
      <w:tr w14:paraId="1EED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2BF95C00">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2</w:t>
            </w:r>
          </w:p>
        </w:tc>
        <w:tc>
          <w:tcPr>
            <w:tcW w:w="9031" w:type="dxa"/>
            <w:vAlign w:val="center"/>
          </w:tcPr>
          <w:p w14:paraId="3D718202">
            <w:pPr>
              <w:spacing w:line="360" w:lineRule="auto"/>
              <w:jc w:val="left"/>
              <w:rPr>
                <w:rFonts w:hint="eastAsia" w:ascii="宋体" w:hAnsi="宋体"/>
                <w:bCs/>
                <w:kern w:val="0"/>
                <w:sz w:val="24"/>
              </w:rPr>
            </w:pPr>
            <w:r>
              <w:rPr>
                <w:rFonts w:hint="eastAsia" w:ascii="宋体" w:hAnsi="宋体"/>
                <w:bCs/>
                <w:kern w:val="0"/>
                <w:sz w:val="24"/>
              </w:rPr>
              <w:t>项目资金来源：项目单位自筹</w:t>
            </w:r>
          </w:p>
        </w:tc>
      </w:tr>
      <w:tr w14:paraId="0C6E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711" w:type="dxa"/>
            <w:vAlign w:val="center"/>
          </w:tcPr>
          <w:p w14:paraId="55C41110">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3</w:t>
            </w:r>
          </w:p>
        </w:tc>
        <w:tc>
          <w:tcPr>
            <w:tcW w:w="9031" w:type="dxa"/>
            <w:vAlign w:val="center"/>
          </w:tcPr>
          <w:p w14:paraId="4A3C5BFD">
            <w:pPr>
              <w:spacing w:line="360" w:lineRule="auto"/>
              <w:jc w:val="left"/>
              <w:rPr>
                <w:rFonts w:hint="eastAsia" w:ascii="宋体" w:hAnsi="宋体"/>
                <w:bCs/>
                <w:kern w:val="0"/>
                <w:sz w:val="24"/>
              </w:rPr>
            </w:pPr>
            <w:r>
              <w:rPr>
                <w:rFonts w:hint="eastAsia" w:ascii="宋体" w:hAnsi="宋体"/>
                <w:bCs/>
                <w:kern w:val="0"/>
                <w:sz w:val="24"/>
              </w:rPr>
              <w:t>研发费用：该项目的委外合作研发费用预算不高于</w:t>
            </w:r>
            <w:r>
              <w:rPr>
                <w:rFonts w:hint="eastAsia" w:ascii="宋体" w:hAnsi="宋体"/>
                <w:bCs/>
                <w:kern w:val="0"/>
                <w:sz w:val="24"/>
                <w:lang w:val="en-US" w:eastAsia="zh-CN"/>
              </w:rPr>
              <w:t>189</w:t>
            </w:r>
            <w:r>
              <w:rPr>
                <w:rFonts w:hint="eastAsia" w:ascii="宋体" w:hAnsi="宋体"/>
                <w:bCs/>
                <w:kern w:val="0"/>
                <w:sz w:val="24"/>
              </w:rPr>
              <w:t>万元。</w:t>
            </w:r>
          </w:p>
        </w:tc>
      </w:tr>
      <w:tr w14:paraId="3F64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482D17FD">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4</w:t>
            </w:r>
          </w:p>
        </w:tc>
        <w:tc>
          <w:tcPr>
            <w:tcW w:w="9031" w:type="dxa"/>
            <w:vAlign w:val="center"/>
          </w:tcPr>
          <w:p w14:paraId="23A3EE7D">
            <w:pPr>
              <w:pStyle w:val="97"/>
              <w:spacing w:line="360" w:lineRule="auto"/>
              <w:jc w:val="left"/>
              <w:rPr>
                <w:rFonts w:ascii="宋体"/>
              </w:rPr>
            </w:pPr>
            <w:r>
              <w:rPr>
                <w:rFonts w:hint="eastAsia" w:ascii="Times New Roman" w:hAnsi="Times New Roman"/>
              </w:rPr>
              <w:t>榜单发布时间：</w:t>
            </w:r>
            <w:r>
              <w:rPr>
                <w:rFonts w:ascii="Times New Roman" w:hAnsi="Times New Roman"/>
              </w:rPr>
              <w:t>20</w:t>
            </w:r>
            <w:r>
              <w:rPr>
                <w:rFonts w:hint="eastAsia" w:ascii="Times New Roman" w:hAnsi="Times New Roman"/>
              </w:rPr>
              <w:t>2</w:t>
            </w:r>
            <w:r>
              <w:rPr>
                <w:rFonts w:hint="eastAsia" w:ascii="Times New Roman" w:hAnsi="Times New Roman"/>
                <w:highlight w:val="none"/>
              </w:rPr>
              <w:t>5年3月</w:t>
            </w:r>
            <w:r>
              <w:rPr>
                <w:rFonts w:hint="eastAsia" w:ascii="Times New Roman" w:hAnsi="Times New Roman"/>
                <w:highlight w:val="none"/>
                <w:lang w:val="en-US" w:eastAsia="zh-CN"/>
              </w:rPr>
              <w:t>13</w:t>
            </w:r>
            <w:r>
              <w:rPr>
                <w:rFonts w:hint="eastAsia" w:ascii="Times New Roman" w:hAnsi="Times New Roman"/>
                <w:highlight w:val="none"/>
              </w:rPr>
              <w:t>日</w:t>
            </w:r>
          </w:p>
        </w:tc>
      </w:tr>
      <w:tr w14:paraId="7F06B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711" w:type="dxa"/>
            <w:vAlign w:val="center"/>
          </w:tcPr>
          <w:p w14:paraId="623B2709">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5</w:t>
            </w:r>
          </w:p>
        </w:tc>
        <w:tc>
          <w:tcPr>
            <w:tcW w:w="9031" w:type="dxa"/>
            <w:vAlign w:val="center"/>
          </w:tcPr>
          <w:p w14:paraId="7044C6E1">
            <w:pPr>
              <w:pStyle w:val="97"/>
              <w:spacing w:line="360" w:lineRule="auto"/>
              <w:rPr>
                <w:rFonts w:hint="eastAsia" w:ascii="宋体" w:hAnsi="宋体"/>
                <w:bCs/>
              </w:rPr>
            </w:pPr>
            <w:r>
              <w:rPr>
                <w:rFonts w:hint="eastAsia" w:ascii="宋体" w:hAnsi="宋体"/>
                <w:bCs/>
              </w:rPr>
              <w:t>揭榜方应具备的基本条件：</w:t>
            </w:r>
          </w:p>
          <w:p w14:paraId="3FE5C48A">
            <w:pPr>
              <w:pStyle w:val="97"/>
              <w:spacing w:line="360" w:lineRule="auto"/>
              <w:rPr>
                <w:rFonts w:hint="eastAsia" w:ascii="宋体" w:hAnsi="宋体"/>
                <w:bCs/>
              </w:rPr>
            </w:pPr>
            <w:r>
              <w:rPr>
                <w:rFonts w:hint="eastAsia" w:ascii="宋体" w:hAnsi="宋体"/>
                <w:bCs/>
              </w:rPr>
              <w:t>（一）揭榜方所在单位具备良好的工作基础、实验条件和科研环境，有较强的研发实力、科研条件和稳定的人员队伍等，有能力完成张榜任务；揭榜方需具有省部级及以上实验室，须提供有效的证明文件；具有良好的科研道德和社会诚信，近3年内无不良信用记录；一般近五年内应承担过国家和省、行业重点科技攻关项目不低于1项，或取得过国家和省部级、行业级科学技术奖1项；揭榜方应提供至少1份近5年巷道围岩控制相关方向的科研项目的合同业绩不低于1份。</w:t>
            </w:r>
          </w:p>
          <w:p w14:paraId="6CB1B779">
            <w:pPr>
              <w:pStyle w:val="97"/>
              <w:spacing w:line="360" w:lineRule="auto"/>
              <w:rPr>
                <w:rFonts w:hint="eastAsia" w:ascii="宋体" w:hAnsi="宋体"/>
                <w:bCs/>
              </w:rPr>
            </w:pPr>
            <w:r>
              <w:rPr>
                <w:rFonts w:hint="eastAsia" w:ascii="宋体" w:hAnsi="宋体"/>
                <w:bCs/>
              </w:rPr>
              <w:t>（二）揭榜方挂帅者实行“谁有能力谁就揭榜挂帅”的原则。挂帅者作为研发团队带头人，无年龄、学历和职称要求，但应在相关学科技术领域中已取得较为突出的创新成果，有良好的科学道德和严谨的学风，能对张榜项目需求给出攻克关键核心技术的可行方案，掌握自主知识产权，对本学科领域的发展具有重要推动作用，有时间和精力从事揭榜项目研究工作。</w:t>
            </w:r>
          </w:p>
          <w:p w14:paraId="024F8C86">
            <w:pPr>
              <w:pStyle w:val="97"/>
              <w:spacing w:line="360" w:lineRule="auto"/>
              <w:rPr>
                <w:rFonts w:hint="eastAsia" w:ascii="宋体" w:hAnsi="宋体"/>
                <w:bCs/>
              </w:rPr>
            </w:pPr>
            <w:r>
              <w:rPr>
                <w:rFonts w:hint="eastAsia" w:ascii="宋体" w:hAnsi="宋体"/>
                <w:bCs/>
              </w:rPr>
              <w:t>（三）揭榜方参与本项目的科研团队除挂帅者之外一般应有至少1名副高级职称或博士学位的核心人员（特别优秀创新人才不受限制），专业结构合理。团队研究方向和主要研究课题符合集团公司发展领域和优势产业发展的要求，已取得突出成绩或具有明显的创新潜力。</w:t>
            </w:r>
          </w:p>
        </w:tc>
      </w:tr>
      <w:tr w14:paraId="2E34D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11" w:type="dxa"/>
            <w:vAlign w:val="center"/>
          </w:tcPr>
          <w:p w14:paraId="3AA72FFD">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6</w:t>
            </w:r>
          </w:p>
        </w:tc>
        <w:tc>
          <w:tcPr>
            <w:tcW w:w="9031" w:type="dxa"/>
            <w:vAlign w:val="center"/>
          </w:tcPr>
          <w:p w14:paraId="11BF2098">
            <w:pPr>
              <w:autoSpaceDE w:val="0"/>
              <w:autoSpaceDN w:val="0"/>
              <w:adjustRightInd w:val="0"/>
              <w:spacing w:line="360" w:lineRule="auto"/>
              <w:jc w:val="left"/>
              <w:rPr>
                <w:rFonts w:ascii="宋体"/>
                <w:kern w:val="0"/>
                <w:sz w:val="24"/>
              </w:rPr>
            </w:pPr>
            <w:r>
              <w:rPr>
                <w:rFonts w:hint="eastAsia" w:ascii="宋体" w:hAnsi="宋体"/>
                <w:kern w:val="0"/>
                <w:sz w:val="24"/>
              </w:rPr>
              <w:t>揭榜投榜申请表</w:t>
            </w:r>
            <w:r>
              <w:rPr>
                <w:rFonts w:hint="eastAsia" w:ascii="宋体" w:hAnsi="宋体"/>
                <w:kern w:val="0"/>
                <w:sz w:val="24"/>
                <w:lang w:val="en-US" w:eastAsia="zh-CN"/>
              </w:rPr>
              <w:t>2</w:t>
            </w:r>
            <w:r>
              <w:rPr>
                <w:rFonts w:hint="eastAsia" w:ascii="宋体" w:hAnsi="宋体"/>
                <w:kern w:val="0"/>
                <w:sz w:val="24"/>
              </w:rPr>
              <w:t>份，投榜书：</w:t>
            </w:r>
            <w:r>
              <w:rPr>
                <w:rFonts w:hint="eastAsia" w:ascii="宋体" w:hAnsi="宋体"/>
                <w:b/>
                <w:kern w:val="0"/>
                <w:sz w:val="24"/>
                <w:u w:val="single"/>
                <w:lang w:val="en-US" w:eastAsia="zh-CN"/>
              </w:rPr>
              <w:t>7</w:t>
            </w:r>
            <w:r>
              <w:rPr>
                <w:rFonts w:hint="eastAsia" w:ascii="宋体" w:hAnsi="宋体"/>
                <w:kern w:val="0"/>
                <w:sz w:val="24"/>
              </w:rPr>
              <w:t>套。</w:t>
            </w:r>
            <w:bookmarkStart w:id="37" w:name="_GoBack"/>
            <w:bookmarkEnd w:id="37"/>
          </w:p>
        </w:tc>
      </w:tr>
      <w:tr w14:paraId="2EB4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711" w:type="dxa"/>
            <w:vAlign w:val="center"/>
          </w:tcPr>
          <w:p w14:paraId="63C747BB">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7</w:t>
            </w:r>
          </w:p>
        </w:tc>
        <w:tc>
          <w:tcPr>
            <w:tcW w:w="9031" w:type="dxa"/>
            <w:vAlign w:val="center"/>
          </w:tcPr>
          <w:p w14:paraId="4CAFD7CA">
            <w:pPr>
              <w:pStyle w:val="97"/>
              <w:spacing w:line="360" w:lineRule="auto"/>
            </w:pPr>
            <w:r>
              <w:rPr>
                <w:rFonts w:hint="eastAsia"/>
              </w:rPr>
              <w:t>揭榜文件递交截止</w:t>
            </w:r>
            <w:r>
              <w:rPr>
                <w:rFonts w:hint="eastAsia"/>
                <w:highlight w:val="none"/>
              </w:rPr>
              <w:t>时间</w:t>
            </w:r>
            <w:r>
              <w:rPr>
                <w:rFonts w:hint="eastAsia" w:ascii="宋体" w:hAnsi="宋体"/>
                <w:bCs/>
                <w:highlight w:val="none"/>
              </w:rPr>
              <w:t>：2025年</w:t>
            </w:r>
            <w:r>
              <w:rPr>
                <w:rFonts w:ascii="宋体" w:hAnsi="宋体"/>
                <w:bCs/>
                <w:highlight w:val="none"/>
              </w:rPr>
              <w:t>3</w:t>
            </w:r>
            <w:r>
              <w:rPr>
                <w:rFonts w:hint="eastAsia" w:ascii="宋体" w:hAnsi="宋体"/>
                <w:bCs/>
                <w:highlight w:val="none"/>
              </w:rPr>
              <w:t>月</w:t>
            </w:r>
            <w:r>
              <w:rPr>
                <w:rFonts w:hint="eastAsia" w:ascii="宋体" w:hAnsi="宋体"/>
                <w:bCs/>
                <w:highlight w:val="none"/>
                <w:lang w:val="en-US" w:eastAsia="zh-CN"/>
              </w:rPr>
              <w:t>20</w:t>
            </w:r>
            <w:r>
              <w:rPr>
                <w:rFonts w:hint="eastAsia" w:ascii="宋体" w:hAnsi="宋体"/>
                <w:bCs/>
                <w:highlight w:val="none"/>
              </w:rPr>
              <w:t>日24时</w:t>
            </w:r>
            <w:r>
              <w:rPr>
                <w:rFonts w:hint="eastAsia" w:ascii="宋体" w:hAnsi="宋体"/>
                <w:bCs/>
              </w:rPr>
              <w:t>00分（北</w:t>
            </w:r>
            <w:r>
              <w:rPr>
                <w:rFonts w:hint="eastAsia"/>
              </w:rPr>
              <w:t>京时间）</w:t>
            </w:r>
          </w:p>
        </w:tc>
      </w:tr>
      <w:tr w14:paraId="50876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711" w:type="dxa"/>
            <w:vAlign w:val="center"/>
          </w:tcPr>
          <w:p w14:paraId="7CC96567">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8</w:t>
            </w:r>
          </w:p>
        </w:tc>
        <w:tc>
          <w:tcPr>
            <w:tcW w:w="9031" w:type="dxa"/>
            <w:vAlign w:val="center"/>
          </w:tcPr>
          <w:p w14:paraId="5D3D61C0">
            <w:pPr>
              <w:pStyle w:val="97"/>
              <w:spacing w:line="360" w:lineRule="auto"/>
            </w:pPr>
            <w:r>
              <w:rPr>
                <w:rFonts w:hint="eastAsia"/>
              </w:rPr>
              <w:t>评榜地点：河南省永城市新城区光明路中段永煤集团会议室（暂定）</w:t>
            </w:r>
          </w:p>
        </w:tc>
      </w:tr>
      <w:tr w14:paraId="26F2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711" w:type="dxa"/>
            <w:vAlign w:val="center"/>
          </w:tcPr>
          <w:p w14:paraId="1BE81842">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9</w:t>
            </w:r>
          </w:p>
        </w:tc>
        <w:tc>
          <w:tcPr>
            <w:tcW w:w="9031" w:type="dxa"/>
            <w:vAlign w:val="center"/>
          </w:tcPr>
          <w:p w14:paraId="210BF0F4">
            <w:pPr>
              <w:pStyle w:val="97"/>
              <w:spacing w:line="360" w:lineRule="auto"/>
            </w:pPr>
            <w:r>
              <w:rPr>
                <w:rFonts w:hint="eastAsia"/>
              </w:rPr>
              <w:t>有关费用：揭榜人承担其投榜书编制与递交、评估等所涉及的一切费用。在任何情况下发榜人对上述费用均不承担任何责任和义务。</w:t>
            </w:r>
          </w:p>
        </w:tc>
      </w:tr>
      <w:tr w14:paraId="03395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4" w:hRule="atLeast"/>
        </w:trPr>
        <w:tc>
          <w:tcPr>
            <w:tcW w:w="711" w:type="dxa"/>
            <w:vAlign w:val="center"/>
          </w:tcPr>
          <w:p w14:paraId="551438E4">
            <w:pPr>
              <w:autoSpaceDE w:val="0"/>
              <w:autoSpaceDN w:val="0"/>
              <w:adjustRightInd w:val="0"/>
              <w:jc w:val="center"/>
              <w:rPr>
                <w:rFonts w:hint="eastAsia" w:ascii="宋体" w:hAnsi="宋体" w:eastAsia="仿宋_GB2312"/>
                <w:kern w:val="0"/>
                <w:sz w:val="24"/>
              </w:rPr>
            </w:pPr>
            <w:r>
              <w:rPr>
                <w:rFonts w:hint="eastAsia" w:ascii="宋体" w:hAnsi="宋体" w:eastAsia="仿宋_GB2312"/>
                <w:kern w:val="0"/>
                <w:sz w:val="24"/>
              </w:rPr>
              <w:t>10</w:t>
            </w:r>
          </w:p>
        </w:tc>
        <w:tc>
          <w:tcPr>
            <w:tcW w:w="9031" w:type="dxa"/>
            <w:vAlign w:val="center"/>
          </w:tcPr>
          <w:p w14:paraId="0A13DA5D">
            <w:pPr>
              <w:autoSpaceDE w:val="0"/>
              <w:autoSpaceDN w:val="0"/>
              <w:adjustRightInd w:val="0"/>
              <w:spacing w:line="360" w:lineRule="auto"/>
              <w:jc w:val="left"/>
              <w:rPr>
                <w:sz w:val="24"/>
              </w:rPr>
            </w:pPr>
            <w:r>
              <w:rPr>
                <w:rFonts w:hint="eastAsia"/>
                <w:sz w:val="24"/>
              </w:rPr>
              <w:t>有关评估活动的文电请与下属地址联系：</w:t>
            </w:r>
          </w:p>
          <w:p w14:paraId="620B56E0">
            <w:pPr>
              <w:autoSpaceDE w:val="0"/>
              <w:autoSpaceDN w:val="0"/>
              <w:adjustRightInd w:val="0"/>
              <w:spacing w:line="360" w:lineRule="auto"/>
              <w:jc w:val="left"/>
              <w:rPr>
                <w:sz w:val="24"/>
              </w:rPr>
            </w:pPr>
            <w:r>
              <w:rPr>
                <w:rFonts w:hint="eastAsia"/>
                <w:sz w:val="24"/>
              </w:rPr>
              <w:t>发榜人：</w:t>
            </w:r>
            <w:r>
              <w:rPr>
                <w:rFonts w:hint="eastAsia" w:ascii="宋体" w:hAnsi="宋体"/>
                <w:kern w:val="0"/>
                <w:sz w:val="24"/>
              </w:rPr>
              <w:t>永城煤电控股集团有限公司</w:t>
            </w:r>
          </w:p>
          <w:p w14:paraId="36155BF2">
            <w:pPr>
              <w:autoSpaceDE w:val="0"/>
              <w:autoSpaceDN w:val="0"/>
              <w:adjustRightInd w:val="0"/>
              <w:spacing w:line="360" w:lineRule="auto"/>
              <w:jc w:val="left"/>
              <w:rPr>
                <w:sz w:val="24"/>
              </w:rPr>
            </w:pPr>
            <w:r>
              <w:rPr>
                <w:rFonts w:hint="eastAsia"/>
                <w:sz w:val="24"/>
              </w:rPr>
              <w:t>地址：河南省永城市光明路中段</w:t>
            </w:r>
          </w:p>
          <w:p w14:paraId="49067879">
            <w:pPr>
              <w:autoSpaceDE w:val="0"/>
              <w:autoSpaceDN w:val="0"/>
              <w:adjustRightInd w:val="0"/>
              <w:spacing w:line="360" w:lineRule="auto"/>
              <w:jc w:val="left"/>
              <w:rPr>
                <w:rFonts w:hint="eastAsia" w:eastAsia="宋体"/>
                <w:sz w:val="24"/>
                <w:highlight w:val="yellow"/>
                <w:lang w:val="en-US" w:eastAsia="zh-CN"/>
              </w:rPr>
            </w:pPr>
            <w:r>
              <w:rPr>
                <w:rFonts w:hint="eastAsia"/>
                <w:sz w:val="24"/>
              </w:rPr>
              <w:t>联系人：</w:t>
            </w:r>
            <w:r>
              <w:rPr>
                <w:rFonts w:hint="eastAsia"/>
                <w:sz w:val="24"/>
                <w:lang w:val="en-US" w:eastAsia="zh-CN"/>
              </w:rPr>
              <w:t>刘宏</w:t>
            </w:r>
          </w:p>
          <w:p w14:paraId="68E9241D">
            <w:pPr>
              <w:spacing w:line="360" w:lineRule="auto"/>
              <w:rPr>
                <w:rFonts w:hint="default" w:ascii="宋体" w:eastAsia="宋体"/>
                <w:kern w:val="0"/>
                <w:sz w:val="24"/>
                <w:lang w:val="en-US" w:eastAsia="zh-CN"/>
              </w:rPr>
            </w:pPr>
            <w:r>
              <w:rPr>
                <w:rFonts w:hint="eastAsia" w:ascii="宋体" w:hAnsi="宋体"/>
                <w:sz w:val="24"/>
              </w:rPr>
              <w:t xml:space="preserve">电话： </w:t>
            </w:r>
            <w:r>
              <w:rPr>
                <w:rFonts w:hint="eastAsia" w:ascii="宋体" w:hAnsi="宋体"/>
                <w:sz w:val="24"/>
                <w:highlight w:val="none"/>
              </w:rPr>
              <w:t xml:space="preserve"> </w:t>
            </w:r>
            <w:r>
              <w:rPr>
                <w:rFonts w:hint="eastAsia" w:ascii="宋体" w:hAnsi="宋体"/>
                <w:sz w:val="24"/>
                <w:highlight w:val="none"/>
                <w:lang w:val="en-US" w:eastAsia="zh-CN"/>
              </w:rPr>
              <w:t>0370-5195306</w:t>
            </w:r>
          </w:p>
        </w:tc>
      </w:tr>
    </w:tbl>
    <w:p w14:paraId="5876FCC6">
      <w:pPr>
        <w:pStyle w:val="2"/>
        <w:numPr>
          <w:ilvl w:val="0"/>
          <w:numId w:val="0"/>
        </w:numPr>
        <w:jc w:val="center"/>
      </w:pPr>
      <w:bookmarkStart w:id="3" w:name="_Toc145730896"/>
      <w:bookmarkStart w:id="4" w:name="_Toc231814792"/>
      <w:bookmarkStart w:id="5" w:name="_Toc491589962"/>
      <w:r>
        <w:rPr>
          <w:rFonts w:hint="eastAsia"/>
        </w:rPr>
        <w:t>二、项目技术要求</w:t>
      </w:r>
    </w:p>
    <w:p w14:paraId="12A08414">
      <w:pPr>
        <w:overflowPunct w:val="0"/>
        <w:spacing w:line="580" w:lineRule="exact"/>
        <w:ind w:firstLine="480" w:firstLineChars="200"/>
        <w:contextualSpacing/>
        <w:rPr>
          <w:rFonts w:hint="eastAsia" w:ascii="宋体" w:hAnsi="宋体"/>
          <w:bCs/>
          <w:sz w:val="24"/>
        </w:rPr>
      </w:pPr>
      <w:r>
        <w:rPr>
          <w:rFonts w:hint="eastAsia" w:ascii="宋体" w:hAnsi="宋体"/>
          <w:bCs/>
          <w:sz w:val="24"/>
        </w:rPr>
        <w:t>（一）研发内容：</w:t>
      </w:r>
    </w:p>
    <w:p w14:paraId="39351259">
      <w:pPr>
        <w:spacing w:line="520" w:lineRule="exact"/>
        <w:ind w:firstLine="360" w:firstLineChars="150"/>
        <w:rPr>
          <w:sz w:val="24"/>
        </w:rPr>
      </w:pPr>
      <w:r>
        <w:rPr>
          <w:sz w:val="24"/>
        </w:rPr>
        <w:t>1.资料收集及围岩物理力学参数测定</w:t>
      </w:r>
    </w:p>
    <w:p w14:paraId="440DA963">
      <w:pPr>
        <w:spacing w:line="520" w:lineRule="exact"/>
        <w:ind w:firstLine="360" w:firstLineChars="150"/>
        <w:rPr>
          <w:sz w:val="24"/>
        </w:rPr>
      </w:pPr>
      <w:r>
        <w:rPr>
          <w:sz w:val="24"/>
        </w:rPr>
        <w:t>（1）现场地质条件调查；</w:t>
      </w:r>
    </w:p>
    <w:p w14:paraId="5B2818A0">
      <w:pPr>
        <w:spacing w:line="520" w:lineRule="exact"/>
        <w:ind w:firstLine="360" w:firstLineChars="150"/>
        <w:rPr>
          <w:sz w:val="24"/>
        </w:rPr>
      </w:pPr>
      <w:r>
        <w:rPr>
          <w:sz w:val="24"/>
        </w:rPr>
        <w:t>（2）围岩取样加工；</w:t>
      </w:r>
    </w:p>
    <w:p w14:paraId="2C458DEA">
      <w:pPr>
        <w:spacing w:line="520" w:lineRule="exact"/>
        <w:ind w:firstLine="360" w:firstLineChars="150"/>
        <w:rPr>
          <w:sz w:val="24"/>
        </w:rPr>
      </w:pPr>
      <w:r>
        <w:rPr>
          <w:sz w:val="24"/>
        </w:rPr>
        <w:t>（3）测定围岩物理动、静力学参数。</w:t>
      </w:r>
    </w:p>
    <w:p w14:paraId="68E2198B">
      <w:pPr>
        <w:spacing w:line="520" w:lineRule="exact"/>
        <w:ind w:firstLine="360" w:firstLineChars="150"/>
        <w:rPr>
          <w:sz w:val="24"/>
        </w:rPr>
      </w:pPr>
      <w:r>
        <w:rPr>
          <w:sz w:val="24"/>
        </w:rPr>
        <w:t>2. 研究</w:t>
      </w:r>
      <w:r>
        <w:rPr>
          <w:kern w:val="0"/>
          <w:sz w:val="24"/>
          <w:lang w:bidi="zh-CN"/>
        </w:rPr>
        <w:t>沿空留巷工作面坚硬顶板破断规律</w:t>
      </w:r>
    </w:p>
    <w:p w14:paraId="4F5758EC">
      <w:pPr>
        <w:spacing w:line="520" w:lineRule="exact"/>
        <w:ind w:firstLine="360" w:firstLineChars="150"/>
        <w:rPr>
          <w:kern w:val="0"/>
          <w:sz w:val="24"/>
          <w:lang w:bidi="zh-CN"/>
        </w:rPr>
      </w:pPr>
      <w:r>
        <w:rPr>
          <w:sz w:val="24"/>
        </w:rPr>
        <w:t>（1）</w:t>
      </w:r>
      <w:r>
        <w:rPr>
          <w:kern w:val="0"/>
          <w:sz w:val="24"/>
          <w:lang w:bidi="zh-CN"/>
        </w:rPr>
        <w:t>研究顶板破断的结构特征，分析顶板破断失稳的应力传递规律</w:t>
      </w:r>
      <w:r>
        <w:rPr>
          <w:rFonts w:hint="eastAsia"/>
          <w:kern w:val="0"/>
          <w:sz w:val="24"/>
          <w:lang w:bidi="zh-CN"/>
        </w:rPr>
        <w:t>；</w:t>
      </w:r>
    </w:p>
    <w:p w14:paraId="1209BB56">
      <w:pPr>
        <w:spacing w:line="520" w:lineRule="exact"/>
        <w:ind w:firstLine="360" w:firstLineChars="150"/>
        <w:rPr>
          <w:kern w:val="0"/>
          <w:sz w:val="24"/>
          <w:lang w:bidi="zh-CN"/>
        </w:rPr>
      </w:pPr>
      <w:r>
        <w:rPr>
          <w:kern w:val="0"/>
          <w:sz w:val="24"/>
          <w:lang w:bidi="zh-CN"/>
        </w:rPr>
        <w:t>（2）厘清沿空留巷工作面坚硬顶板破断机理</w:t>
      </w:r>
      <w:r>
        <w:rPr>
          <w:rFonts w:hint="eastAsia"/>
          <w:kern w:val="0"/>
          <w:sz w:val="24"/>
          <w:lang w:bidi="zh-CN"/>
        </w:rPr>
        <w:t>。</w:t>
      </w:r>
    </w:p>
    <w:p w14:paraId="213C098C">
      <w:pPr>
        <w:spacing w:line="520" w:lineRule="exact"/>
        <w:ind w:firstLine="360" w:firstLineChars="150"/>
        <w:rPr>
          <w:kern w:val="0"/>
          <w:sz w:val="24"/>
          <w:lang w:bidi="zh-CN"/>
        </w:rPr>
      </w:pPr>
      <w:r>
        <w:rPr>
          <w:kern w:val="0"/>
          <w:sz w:val="24"/>
          <w:lang w:bidi="zh-CN"/>
        </w:rPr>
        <w:t>3. 沿空留巷工作面坚硬顶板卸压控制技术</w:t>
      </w:r>
    </w:p>
    <w:p w14:paraId="7AA44DDD">
      <w:pPr>
        <w:spacing w:line="520" w:lineRule="exact"/>
        <w:ind w:firstLine="360" w:firstLineChars="150"/>
        <w:rPr>
          <w:kern w:val="0"/>
          <w:sz w:val="24"/>
          <w:lang w:bidi="zh-CN"/>
        </w:rPr>
      </w:pPr>
      <w:r>
        <w:rPr>
          <w:kern w:val="0"/>
          <w:sz w:val="24"/>
          <w:lang w:bidi="zh-CN"/>
        </w:rPr>
        <w:t>（1）建立坚硬顶板卸压控制数值模型</w:t>
      </w:r>
      <w:r>
        <w:rPr>
          <w:rFonts w:hint="eastAsia"/>
          <w:kern w:val="0"/>
          <w:sz w:val="24"/>
          <w:lang w:bidi="zh-CN"/>
        </w:rPr>
        <w:t>；</w:t>
      </w:r>
    </w:p>
    <w:p w14:paraId="5B062C92">
      <w:pPr>
        <w:spacing w:line="520" w:lineRule="exact"/>
        <w:ind w:firstLine="360" w:firstLineChars="150"/>
        <w:rPr>
          <w:kern w:val="0"/>
          <w:sz w:val="24"/>
          <w:lang w:bidi="zh-CN"/>
        </w:rPr>
      </w:pPr>
      <w:r>
        <w:rPr>
          <w:kern w:val="0"/>
          <w:sz w:val="24"/>
          <w:lang w:bidi="zh-CN"/>
        </w:rPr>
        <w:t>（2）研究不同</w:t>
      </w:r>
      <w:r>
        <w:rPr>
          <w:rFonts w:hint="eastAsia"/>
          <w:color w:val="auto"/>
          <w:kern w:val="0"/>
          <w:sz w:val="24"/>
          <w:lang w:bidi="zh-CN"/>
        </w:rPr>
        <w:t>切顶深度</w:t>
      </w:r>
      <w:r>
        <w:rPr>
          <w:kern w:val="0"/>
          <w:sz w:val="24"/>
          <w:lang w:bidi="zh-CN"/>
        </w:rPr>
        <w:t>应力场对裂缝扩展的影响规律</w:t>
      </w:r>
      <w:r>
        <w:rPr>
          <w:rFonts w:hint="eastAsia"/>
          <w:kern w:val="0"/>
          <w:sz w:val="24"/>
          <w:lang w:bidi="zh-CN"/>
        </w:rPr>
        <w:t>；</w:t>
      </w:r>
    </w:p>
    <w:p w14:paraId="2A1F6EA9">
      <w:pPr>
        <w:spacing w:line="520" w:lineRule="exact"/>
        <w:ind w:firstLine="360" w:firstLineChars="150"/>
        <w:rPr>
          <w:kern w:val="0"/>
          <w:sz w:val="24"/>
          <w:lang w:bidi="zh-CN"/>
        </w:rPr>
      </w:pPr>
      <w:r>
        <w:rPr>
          <w:kern w:val="0"/>
          <w:sz w:val="24"/>
          <w:lang w:bidi="zh-CN"/>
        </w:rPr>
        <w:t>（3）研究不同裂缝间距条件对裂缝扩展的影响规律</w:t>
      </w:r>
      <w:r>
        <w:rPr>
          <w:rFonts w:hint="eastAsia"/>
          <w:kern w:val="0"/>
          <w:sz w:val="24"/>
          <w:lang w:bidi="zh-CN"/>
        </w:rPr>
        <w:t>；</w:t>
      </w:r>
    </w:p>
    <w:p w14:paraId="622D63FD">
      <w:pPr>
        <w:spacing w:line="520" w:lineRule="exact"/>
        <w:ind w:firstLine="360" w:firstLineChars="150"/>
        <w:rPr>
          <w:kern w:val="0"/>
          <w:sz w:val="24"/>
          <w:lang w:bidi="zh-CN"/>
        </w:rPr>
      </w:pPr>
      <w:r>
        <w:rPr>
          <w:kern w:val="0"/>
          <w:sz w:val="24"/>
          <w:lang w:bidi="zh-CN"/>
        </w:rPr>
        <w:t>（4）构建坚硬顶板强矿压控制源头区域压裂技术体系</w:t>
      </w:r>
      <w:r>
        <w:rPr>
          <w:rFonts w:hint="eastAsia"/>
          <w:kern w:val="0"/>
          <w:sz w:val="24"/>
          <w:lang w:bidi="zh-CN"/>
        </w:rPr>
        <w:t>。</w:t>
      </w:r>
    </w:p>
    <w:p w14:paraId="4B16E2D7">
      <w:pPr>
        <w:spacing w:line="520" w:lineRule="exact"/>
        <w:ind w:firstLine="360" w:firstLineChars="150"/>
        <w:rPr>
          <w:sz w:val="24"/>
        </w:rPr>
      </w:pPr>
      <w:r>
        <w:rPr>
          <w:kern w:val="0"/>
          <w:sz w:val="24"/>
          <w:lang w:bidi="zh-CN"/>
        </w:rPr>
        <w:t xml:space="preserve">4. </w:t>
      </w:r>
      <w:bookmarkStart w:id="6" w:name="_Hlk190441719"/>
      <w:r>
        <w:rPr>
          <w:sz w:val="24"/>
        </w:rPr>
        <w:t>多重扰动下巷道底鼓治理技术研究</w:t>
      </w:r>
    </w:p>
    <w:bookmarkEnd w:id="6"/>
    <w:p w14:paraId="65736AD4">
      <w:pPr>
        <w:spacing w:line="520" w:lineRule="exact"/>
        <w:ind w:firstLine="360" w:firstLineChars="150"/>
        <w:rPr>
          <w:kern w:val="0"/>
          <w:sz w:val="24"/>
          <w:lang w:bidi="zh-CN"/>
        </w:rPr>
      </w:pPr>
      <w:r>
        <w:rPr>
          <w:kern w:val="0"/>
          <w:sz w:val="24"/>
          <w:lang w:bidi="zh-CN"/>
        </w:rPr>
        <w:t>（1）研究不同采动距离下底板围岩的应力分布规律及底鼓破坏情况</w:t>
      </w:r>
      <w:r>
        <w:rPr>
          <w:rFonts w:hint="eastAsia"/>
          <w:kern w:val="0"/>
          <w:sz w:val="24"/>
          <w:lang w:bidi="zh-CN"/>
        </w:rPr>
        <w:t>；</w:t>
      </w:r>
    </w:p>
    <w:p w14:paraId="108E5701">
      <w:pPr>
        <w:spacing w:line="520" w:lineRule="exact"/>
        <w:ind w:firstLine="360" w:firstLineChars="150"/>
        <w:rPr>
          <w:kern w:val="0"/>
          <w:sz w:val="24"/>
          <w:lang w:bidi="zh-CN"/>
        </w:rPr>
      </w:pPr>
      <w:r>
        <w:rPr>
          <w:kern w:val="0"/>
          <w:sz w:val="24"/>
          <w:lang w:bidi="zh-CN"/>
        </w:rPr>
        <w:t>（2）研究不同巷道宽度下底板围岩的应力分布规律及底鼓破坏情况</w:t>
      </w:r>
      <w:r>
        <w:rPr>
          <w:rFonts w:hint="eastAsia"/>
          <w:kern w:val="0"/>
          <w:sz w:val="24"/>
          <w:lang w:bidi="zh-CN"/>
        </w:rPr>
        <w:t>；</w:t>
      </w:r>
    </w:p>
    <w:p w14:paraId="68EE8944">
      <w:pPr>
        <w:spacing w:line="520" w:lineRule="exact"/>
        <w:ind w:firstLine="360" w:firstLineChars="150"/>
        <w:rPr>
          <w:kern w:val="0"/>
          <w:sz w:val="24"/>
          <w:lang w:bidi="zh-CN"/>
        </w:rPr>
      </w:pPr>
      <w:r>
        <w:rPr>
          <w:kern w:val="0"/>
          <w:sz w:val="24"/>
          <w:lang w:bidi="zh-CN"/>
        </w:rPr>
        <w:t>（3）建立联合扰动下工作面巷道底鼓治理模型</w:t>
      </w:r>
      <w:r>
        <w:rPr>
          <w:rFonts w:hint="eastAsia"/>
          <w:kern w:val="0"/>
          <w:sz w:val="24"/>
          <w:lang w:bidi="zh-CN"/>
        </w:rPr>
        <w:t>；</w:t>
      </w:r>
    </w:p>
    <w:p w14:paraId="77BB97A0">
      <w:pPr>
        <w:spacing w:line="520" w:lineRule="exact"/>
        <w:ind w:firstLine="360" w:firstLineChars="150"/>
        <w:rPr>
          <w:kern w:val="0"/>
          <w:sz w:val="24"/>
          <w:lang w:bidi="zh-CN"/>
        </w:rPr>
      </w:pPr>
      <w:r>
        <w:rPr>
          <w:kern w:val="0"/>
          <w:sz w:val="24"/>
          <w:lang w:bidi="zh-CN"/>
        </w:rPr>
        <w:t>（4）提出针对沿空巷道下底鼓治理的多重联合技术措施</w:t>
      </w:r>
      <w:r>
        <w:rPr>
          <w:rFonts w:hint="eastAsia"/>
          <w:kern w:val="0"/>
          <w:sz w:val="24"/>
          <w:lang w:bidi="zh-CN"/>
        </w:rPr>
        <w:t>。</w:t>
      </w:r>
    </w:p>
    <w:p w14:paraId="1EFE428A">
      <w:pPr>
        <w:spacing w:line="520" w:lineRule="exact"/>
        <w:ind w:firstLine="360" w:firstLineChars="150"/>
        <w:rPr>
          <w:kern w:val="0"/>
          <w:sz w:val="24"/>
          <w:lang w:bidi="zh-CN"/>
        </w:rPr>
      </w:pPr>
      <w:r>
        <w:rPr>
          <w:kern w:val="0"/>
          <w:sz w:val="24"/>
          <w:lang w:bidi="zh-CN"/>
        </w:rPr>
        <w:t>5. 临空巷上隅角坚硬顶板卸压技术</w:t>
      </w:r>
    </w:p>
    <w:p w14:paraId="14D508E0">
      <w:pPr>
        <w:spacing w:line="520" w:lineRule="exact"/>
        <w:ind w:firstLine="360" w:firstLineChars="150"/>
        <w:rPr>
          <w:kern w:val="0"/>
          <w:sz w:val="24"/>
          <w:lang w:bidi="zh-CN"/>
        </w:rPr>
      </w:pPr>
      <w:r>
        <w:rPr>
          <w:kern w:val="0"/>
          <w:sz w:val="24"/>
          <w:lang w:bidi="zh-CN"/>
        </w:rPr>
        <w:t>（1）明确上隅角坚硬顶板变形破坏规律</w:t>
      </w:r>
      <w:r>
        <w:rPr>
          <w:rFonts w:hint="eastAsia"/>
          <w:kern w:val="0"/>
          <w:sz w:val="24"/>
          <w:lang w:bidi="zh-CN"/>
        </w:rPr>
        <w:t>；</w:t>
      </w:r>
    </w:p>
    <w:p w14:paraId="1F3126B5">
      <w:pPr>
        <w:spacing w:line="520" w:lineRule="exact"/>
        <w:ind w:firstLine="360" w:firstLineChars="150"/>
        <w:rPr>
          <w:kern w:val="0"/>
          <w:sz w:val="24"/>
          <w:lang w:bidi="zh-CN"/>
        </w:rPr>
      </w:pPr>
      <w:r>
        <w:rPr>
          <w:kern w:val="0"/>
          <w:sz w:val="24"/>
          <w:lang w:bidi="zh-CN"/>
        </w:rPr>
        <w:t>（2）提出治理上隅角坚硬顶板的卸压技术</w:t>
      </w:r>
      <w:r>
        <w:rPr>
          <w:rFonts w:hint="eastAsia"/>
          <w:kern w:val="0"/>
          <w:sz w:val="24"/>
          <w:lang w:bidi="zh-CN"/>
        </w:rPr>
        <w:t>。</w:t>
      </w:r>
    </w:p>
    <w:p w14:paraId="38E9D729">
      <w:pPr>
        <w:spacing w:line="520" w:lineRule="exact"/>
        <w:ind w:firstLine="360" w:firstLineChars="150"/>
        <w:rPr>
          <w:kern w:val="0"/>
          <w:sz w:val="24"/>
          <w:lang w:bidi="zh-CN"/>
        </w:rPr>
      </w:pPr>
      <w:r>
        <w:rPr>
          <w:kern w:val="0"/>
          <w:sz w:val="24"/>
          <w:lang w:bidi="zh-CN"/>
        </w:rPr>
        <w:t>6. “压-注-切”一体化围岩控制技术研发</w:t>
      </w:r>
    </w:p>
    <w:p w14:paraId="02F720F0">
      <w:pPr>
        <w:spacing w:line="520" w:lineRule="exact"/>
        <w:ind w:firstLine="360" w:firstLineChars="150"/>
        <w:rPr>
          <w:kern w:val="0"/>
          <w:sz w:val="24"/>
          <w:lang w:bidi="zh-CN"/>
        </w:rPr>
      </w:pPr>
      <w:r>
        <w:rPr>
          <w:kern w:val="0"/>
          <w:sz w:val="24"/>
          <w:lang w:bidi="zh-CN"/>
        </w:rPr>
        <w:t>总结巷道围岩变形控制与底鼓控制技术，整合应用到的压裂、切顶、注浆等技术，形成“压-注-切”一体化围岩控制技术</w:t>
      </w:r>
      <w:r>
        <w:rPr>
          <w:rFonts w:hint="eastAsia"/>
          <w:kern w:val="0"/>
          <w:sz w:val="24"/>
          <w:lang w:bidi="zh-CN"/>
        </w:rPr>
        <w:t>。</w:t>
      </w:r>
    </w:p>
    <w:p w14:paraId="0718C826">
      <w:pPr>
        <w:overflowPunct w:val="0"/>
        <w:spacing w:line="580" w:lineRule="exact"/>
        <w:ind w:firstLine="480" w:firstLineChars="200"/>
        <w:contextualSpacing/>
        <w:rPr>
          <w:rFonts w:hint="eastAsia" w:ascii="宋体" w:hAnsi="宋体"/>
          <w:bCs/>
          <w:sz w:val="24"/>
        </w:rPr>
      </w:pPr>
      <w:r>
        <w:rPr>
          <w:rFonts w:hint="eastAsia" w:ascii="宋体" w:hAnsi="宋体"/>
          <w:bCs/>
          <w:sz w:val="24"/>
        </w:rPr>
        <w:t>（二）研发目标：</w:t>
      </w:r>
    </w:p>
    <w:p w14:paraId="6B1E5FF3">
      <w:pPr>
        <w:autoSpaceDE w:val="0"/>
        <w:autoSpaceDN w:val="0"/>
        <w:spacing w:line="520" w:lineRule="exact"/>
        <w:ind w:firstLine="480" w:firstLineChars="200"/>
        <w:rPr>
          <w:kern w:val="0"/>
          <w:sz w:val="24"/>
          <w:lang w:val="zh-CN" w:bidi="zh-CN"/>
        </w:rPr>
      </w:pPr>
      <w:r>
        <w:rPr>
          <w:rFonts w:hint="eastAsia"/>
          <w:kern w:val="0"/>
          <w:sz w:val="24"/>
          <w:lang w:val="zh-CN" w:bidi="zh-CN"/>
        </w:rPr>
        <w:t>1. 明确城郊煤矿沿空留巷工作面坚硬顶板破断规律；</w:t>
      </w:r>
    </w:p>
    <w:p w14:paraId="39E43831">
      <w:pPr>
        <w:autoSpaceDE w:val="0"/>
        <w:autoSpaceDN w:val="0"/>
        <w:spacing w:line="520" w:lineRule="exact"/>
        <w:ind w:firstLine="480" w:firstLineChars="200"/>
        <w:rPr>
          <w:kern w:val="0"/>
          <w:sz w:val="24"/>
          <w:lang w:val="zh-CN" w:bidi="zh-CN"/>
        </w:rPr>
      </w:pPr>
      <w:r>
        <w:rPr>
          <w:rFonts w:hint="eastAsia"/>
          <w:kern w:val="0"/>
          <w:sz w:val="24"/>
          <w:lang w:val="zh-CN" w:bidi="zh-CN"/>
        </w:rPr>
        <w:t>2. 揭示多重扰动下巷道底鼓破坏机理；</w:t>
      </w:r>
    </w:p>
    <w:p w14:paraId="33373792">
      <w:pPr>
        <w:autoSpaceDE w:val="0"/>
        <w:autoSpaceDN w:val="0"/>
        <w:spacing w:line="520" w:lineRule="exact"/>
        <w:ind w:firstLine="480" w:firstLineChars="200"/>
        <w:rPr>
          <w:kern w:val="0"/>
          <w:sz w:val="24"/>
          <w:lang w:val="zh-CN" w:bidi="zh-CN"/>
        </w:rPr>
      </w:pPr>
      <w:r>
        <w:rPr>
          <w:rFonts w:hint="eastAsia"/>
          <w:kern w:val="0"/>
          <w:sz w:val="24"/>
          <w:lang w:val="zh-CN" w:bidi="zh-CN"/>
        </w:rPr>
        <w:t>3. 明确临空巷上隅角围岩变形破坏机制；</w:t>
      </w:r>
    </w:p>
    <w:p w14:paraId="61F6402B">
      <w:pPr>
        <w:autoSpaceDE w:val="0"/>
        <w:autoSpaceDN w:val="0"/>
        <w:spacing w:line="520" w:lineRule="exact"/>
        <w:ind w:firstLine="480" w:firstLineChars="200"/>
        <w:rPr>
          <w:kern w:val="0"/>
          <w:sz w:val="24"/>
          <w:lang w:val="zh-CN" w:bidi="zh-CN"/>
        </w:rPr>
      </w:pPr>
      <w:r>
        <w:rPr>
          <w:rFonts w:hint="eastAsia"/>
          <w:kern w:val="0"/>
          <w:sz w:val="24"/>
          <w:lang w:val="zh-CN" w:bidi="zh-CN"/>
        </w:rPr>
        <w:t>4. 提出坚硬顶板弱化与压裂控制技术；</w:t>
      </w:r>
    </w:p>
    <w:p w14:paraId="374BFCC9">
      <w:pPr>
        <w:autoSpaceDE w:val="0"/>
        <w:autoSpaceDN w:val="0"/>
        <w:spacing w:line="520" w:lineRule="exact"/>
        <w:ind w:firstLine="480" w:firstLineChars="200"/>
        <w:rPr>
          <w:rFonts w:hint="eastAsia"/>
          <w:color w:val="FF0000"/>
          <w:kern w:val="0"/>
          <w:sz w:val="24"/>
          <w:lang w:val="zh-CN" w:bidi="zh-CN"/>
        </w:rPr>
      </w:pPr>
      <w:r>
        <w:rPr>
          <w:rFonts w:hint="eastAsia"/>
          <w:color w:val="auto"/>
          <w:kern w:val="0"/>
          <w:sz w:val="24"/>
          <w:lang w:val="zh-CN" w:bidi="zh-CN"/>
        </w:rPr>
        <w:t>5. 提出不同顶板条件下最优切顶深度；</w:t>
      </w:r>
    </w:p>
    <w:p w14:paraId="4B476113">
      <w:pPr>
        <w:autoSpaceDE w:val="0"/>
        <w:autoSpaceDN w:val="0"/>
        <w:spacing w:line="520" w:lineRule="exact"/>
        <w:ind w:firstLine="480" w:firstLineChars="200"/>
        <w:rPr>
          <w:kern w:val="0"/>
          <w:sz w:val="24"/>
          <w:lang w:val="zh-CN" w:bidi="zh-CN"/>
        </w:rPr>
      </w:pPr>
      <w:r>
        <w:rPr>
          <w:rFonts w:hint="eastAsia"/>
          <w:kern w:val="0"/>
          <w:sz w:val="24"/>
          <w:lang w:val="zh-CN" w:bidi="zh-CN"/>
        </w:rPr>
        <w:t>6. 提出巷道底鼓联合治理技术；</w:t>
      </w:r>
    </w:p>
    <w:p w14:paraId="2A68C8D4">
      <w:pPr>
        <w:autoSpaceDE w:val="0"/>
        <w:autoSpaceDN w:val="0"/>
        <w:spacing w:line="520" w:lineRule="exact"/>
        <w:ind w:firstLine="480" w:firstLineChars="200"/>
        <w:rPr>
          <w:kern w:val="0"/>
          <w:sz w:val="24"/>
          <w:lang w:val="zh-CN" w:bidi="zh-CN"/>
        </w:rPr>
      </w:pPr>
      <w:r>
        <w:rPr>
          <w:rFonts w:hint="eastAsia"/>
          <w:kern w:val="0"/>
          <w:sz w:val="24"/>
          <w:lang w:val="zh-CN" w:bidi="zh-CN"/>
        </w:rPr>
        <w:t>7. 提出临空巷上隅角密集钻孔卸压技术；</w:t>
      </w:r>
    </w:p>
    <w:p w14:paraId="245A049F">
      <w:pPr>
        <w:autoSpaceDE w:val="0"/>
        <w:autoSpaceDN w:val="0"/>
        <w:spacing w:line="520" w:lineRule="exact"/>
        <w:ind w:firstLine="480" w:firstLineChars="200"/>
        <w:rPr>
          <w:kern w:val="0"/>
          <w:sz w:val="24"/>
          <w:lang w:val="zh-CN" w:bidi="zh-CN"/>
        </w:rPr>
      </w:pPr>
      <w:r>
        <w:rPr>
          <w:rFonts w:hint="eastAsia"/>
          <w:kern w:val="0"/>
          <w:sz w:val="24"/>
          <w:lang w:val="zh-CN" w:bidi="zh-CN"/>
        </w:rPr>
        <w:t>8. 交付成果：</w:t>
      </w:r>
    </w:p>
    <w:p w14:paraId="7E90D170">
      <w:pPr>
        <w:autoSpaceDE w:val="0"/>
        <w:autoSpaceDN w:val="0"/>
        <w:adjustRightInd w:val="0"/>
        <w:spacing w:line="520" w:lineRule="exact"/>
        <w:ind w:left="993"/>
        <w:rPr>
          <w:rFonts w:hint="eastAsia" w:ascii="宋体" w:hAnsi="宋体"/>
          <w:bCs/>
          <w:sz w:val="24"/>
        </w:rPr>
      </w:pPr>
      <w:r>
        <w:rPr>
          <w:rFonts w:hint="eastAsia"/>
          <w:kern w:val="0"/>
          <w:sz w:val="24"/>
          <w:lang w:val="zh-CN" w:bidi="zh-CN"/>
        </w:rPr>
        <w:t>（1）</w:t>
      </w:r>
      <w:r>
        <w:rPr>
          <w:rFonts w:hint="eastAsia" w:ascii="宋体" w:hAnsi="宋体" w:cs="宋体"/>
          <w:bCs/>
          <w:sz w:val="24"/>
        </w:rPr>
        <w:t>提交项目总结报告必须通过矿方组织的会议验收；</w:t>
      </w:r>
    </w:p>
    <w:p w14:paraId="0765E6EF">
      <w:pPr>
        <w:autoSpaceDE w:val="0"/>
        <w:autoSpaceDN w:val="0"/>
        <w:adjustRightInd w:val="0"/>
        <w:spacing w:line="520" w:lineRule="exact"/>
        <w:ind w:left="993"/>
        <w:rPr>
          <w:rFonts w:hint="eastAsia" w:ascii="宋体" w:hAnsi="宋体"/>
          <w:bCs/>
          <w:sz w:val="24"/>
        </w:rPr>
      </w:pPr>
      <w:r>
        <w:rPr>
          <w:rFonts w:hint="eastAsia"/>
          <w:kern w:val="0"/>
          <w:sz w:val="24"/>
          <w:lang w:bidi="zh-CN"/>
        </w:rPr>
        <w:t>（2）</w:t>
      </w:r>
      <w:r>
        <w:rPr>
          <w:rFonts w:hint="eastAsia" w:ascii="宋体" w:hAnsi="宋体"/>
          <w:bCs/>
          <w:sz w:val="24"/>
        </w:rPr>
        <w:t>研究报告10份。</w:t>
      </w:r>
    </w:p>
    <w:p w14:paraId="2D0B5238">
      <w:pPr>
        <w:autoSpaceDE w:val="0"/>
        <w:autoSpaceDN w:val="0"/>
        <w:spacing w:line="520" w:lineRule="exact"/>
        <w:ind w:firstLine="480" w:firstLineChars="200"/>
        <w:rPr>
          <w:kern w:val="0"/>
          <w:sz w:val="24"/>
          <w:lang w:bidi="zh-CN"/>
        </w:rPr>
      </w:pPr>
      <w:r>
        <w:rPr>
          <w:rFonts w:hint="eastAsia"/>
          <w:kern w:val="0"/>
          <w:sz w:val="24"/>
          <w:lang w:val="en-US" w:bidi="zh-CN"/>
        </w:rPr>
        <w:t>9</w:t>
      </w:r>
      <w:r>
        <w:rPr>
          <w:rFonts w:hint="eastAsia"/>
          <w:kern w:val="0"/>
          <w:sz w:val="24"/>
          <w:lang w:bidi="zh-CN"/>
        </w:rPr>
        <w:t>. 知识产权：</w:t>
      </w:r>
    </w:p>
    <w:p w14:paraId="611B4D37">
      <w:pPr>
        <w:autoSpaceDE w:val="0"/>
        <w:autoSpaceDN w:val="0"/>
        <w:adjustRightInd w:val="0"/>
        <w:spacing w:line="520" w:lineRule="exact"/>
        <w:ind w:left="993"/>
        <w:rPr>
          <w:rFonts w:hint="eastAsia" w:ascii="宋体" w:hAnsi="宋体"/>
          <w:bCs/>
          <w:sz w:val="24"/>
        </w:rPr>
      </w:pPr>
      <w:r>
        <w:rPr>
          <w:rFonts w:hint="eastAsia" w:ascii="宋体" w:hAnsi="宋体"/>
          <w:bCs/>
          <w:sz w:val="24"/>
        </w:rPr>
        <w:t>（1）申请</w:t>
      </w:r>
      <w:r>
        <w:rPr>
          <w:rFonts w:hint="eastAsia" w:ascii="宋体" w:hAnsi="宋体"/>
          <w:bCs/>
          <w:sz w:val="24"/>
          <w:lang w:val="en-US" w:eastAsia="zh-CN"/>
        </w:rPr>
        <w:t>并授权</w:t>
      </w:r>
      <w:r>
        <w:rPr>
          <w:rFonts w:hint="eastAsia" w:ascii="宋体" w:hAnsi="宋体"/>
          <w:bCs/>
          <w:sz w:val="24"/>
        </w:rPr>
        <w:t>发明专利1项</w:t>
      </w:r>
      <w:r>
        <w:rPr>
          <w:rFonts w:hint="eastAsia" w:ascii="宋体" w:hAnsi="宋体"/>
          <w:bCs/>
          <w:sz w:val="24"/>
          <w:lang w:eastAsia="zh-CN"/>
        </w:rPr>
        <w:t>、</w:t>
      </w:r>
      <w:r>
        <w:rPr>
          <w:rFonts w:hint="eastAsia" w:ascii="宋体" w:hAnsi="宋体"/>
          <w:bCs/>
          <w:sz w:val="24"/>
        </w:rPr>
        <w:t>实用新型专利2项</w:t>
      </w:r>
      <w:r>
        <w:rPr>
          <w:rFonts w:hint="eastAsia" w:ascii="宋体" w:hAnsi="宋体"/>
          <w:bCs/>
          <w:sz w:val="24"/>
          <w:lang w:eastAsia="zh-CN"/>
        </w:rPr>
        <w:t>，</w:t>
      </w:r>
      <w:r>
        <w:rPr>
          <w:rFonts w:hint="eastAsia" w:ascii="Times New Roman" w:hAnsi="Times New Roman" w:eastAsia="宋体" w:cs="Times New Roman"/>
          <w:bCs/>
          <w:sz w:val="24"/>
          <w:szCs w:val="18"/>
          <w:lang w:val="en-US" w:eastAsia="zh-CN"/>
        </w:rPr>
        <w:t>专利第一完成人为发榜单位人员</w:t>
      </w:r>
      <w:r>
        <w:rPr>
          <w:rFonts w:hint="eastAsia" w:ascii="宋体" w:hAnsi="宋体"/>
          <w:bCs/>
          <w:sz w:val="24"/>
        </w:rPr>
        <w:t>；</w:t>
      </w:r>
    </w:p>
    <w:p w14:paraId="6F6E18CC">
      <w:pPr>
        <w:autoSpaceDE w:val="0"/>
        <w:autoSpaceDN w:val="0"/>
        <w:adjustRightInd w:val="0"/>
        <w:spacing w:line="520" w:lineRule="exact"/>
        <w:ind w:left="993"/>
        <w:rPr>
          <w:rFonts w:hint="eastAsia" w:ascii="宋体" w:hAnsi="宋体"/>
          <w:bCs/>
          <w:sz w:val="24"/>
        </w:rPr>
      </w:pPr>
      <w:r>
        <w:rPr>
          <w:rFonts w:hint="eastAsia" w:ascii="宋体" w:hAnsi="宋体"/>
          <w:bCs/>
          <w:sz w:val="24"/>
        </w:rPr>
        <w:t>（2）</w:t>
      </w:r>
      <w:r>
        <w:rPr>
          <w:rFonts w:hint="eastAsia" w:ascii="宋体" w:hAnsi="宋体"/>
          <w:bCs/>
          <w:sz w:val="24"/>
          <w:lang w:val="en-US" w:eastAsia="zh-CN"/>
        </w:rPr>
        <w:t>中文</w:t>
      </w:r>
      <w:r>
        <w:rPr>
          <w:rFonts w:hint="eastAsia" w:ascii="宋体" w:hAnsi="宋体"/>
          <w:bCs/>
          <w:sz w:val="24"/>
        </w:rPr>
        <w:t>核心期刊发表论文2篇</w:t>
      </w:r>
      <w:r>
        <w:rPr>
          <w:rFonts w:hint="eastAsia" w:ascii="宋体" w:hAnsi="宋体"/>
          <w:bCs/>
          <w:sz w:val="24"/>
          <w:lang w:eastAsia="zh-CN"/>
        </w:rPr>
        <w:t>，</w:t>
      </w:r>
      <w:r>
        <w:rPr>
          <w:rFonts w:hint="eastAsia" w:ascii="Times New Roman" w:hAnsi="Times New Roman" w:eastAsia="宋体" w:cs="Times New Roman"/>
          <w:bCs/>
          <w:sz w:val="24"/>
          <w:szCs w:val="18"/>
          <w:lang w:val="en-US" w:eastAsia="zh-CN"/>
        </w:rPr>
        <w:t>第一作者为发榜单位人员</w:t>
      </w:r>
      <w:r>
        <w:rPr>
          <w:rFonts w:hint="eastAsia" w:ascii="宋体" w:hAnsi="宋体"/>
          <w:bCs/>
          <w:sz w:val="24"/>
        </w:rPr>
        <w:t>。</w:t>
      </w:r>
    </w:p>
    <w:p w14:paraId="6DFAEC0E">
      <w:pPr>
        <w:autoSpaceDE w:val="0"/>
        <w:autoSpaceDN w:val="0"/>
        <w:spacing w:line="520" w:lineRule="exact"/>
        <w:ind w:firstLine="480" w:firstLineChars="200"/>
        <w:rPr>
          <w:rFonts w:hint="eastAsia" w:ascii="Times New Roman" w:hAnsi="Times New Roman" w:eastAsia="宋体" w:cs="Times New Roman"/>
          <w:kern w:val="0"/>
          <w:sz w:val="24"/>
          <w:lang w:val="zh-CN" w:bidi="zh-CN"/>
        </w:rPr>
      </w:pPr>
      <w:r>
        <w:rPr>
          <w:rFonts w:hint="eastAsia" w:ascii="Times New Roman" w:hAnsi="Times New Roman" w:eastAsia="宋体" w:cs="Times New Roman"/>
          <w:kern w:val="0"/>
          <w:sz w:val="24"/>
          <w:lang w:val="en-US" w:bidi="zh-CN"/>
        </w:rPr>
        <w:t>10</w:t>
      </w:r>
      <w:r>
        <w:rPr>
          <w:rFonts w:hint="eastAsia" w:ascii="Times New Roman" w:hAnsi="Times New Roman" w:eastAsia="宋体" w:cs="Times New Roman"/>
          <w:kern w:val="0"/>
          <w:sz w:val="24"/>
          <w:lang w:val="zh-CN" w:bidi="zh-CN"/>
        </w:rPr>
        <w:t xml:space="preserve">. </w:t>
      </w:r>
      <w:r>
        <w:rPr>
          <w:rFonts w:hint="eastAsia" w:ascii="Times New Roman" w:hAnsi="Times New Roman" w:eastAsia="宋体" w:cs="Times New Roman"/>
          <w:kern w:val="0"/>
          <w:sz w:val="24"/>
          <w:lang w:val="en-US" w:eastAsia="zh-CN" w:bidi="zh-CN"/>
        </w:rPr>
        <w:t>项目完成后，通过永煤公司组织的项目验收；由揭榜单位对项目进行第三方权威机构鉴定，发榜方为第一完成单位，揭榜方为第二完成单位。</w:t>
      </w:r>
      <w:r>
        <w:rPr>
          <w:rFonts w:hint="eastAsia" w:ascii="Times New Roman" w:hAnsi="Times New Roman" w:eastAsia="宋体" w:cs="Times New Roman"/>
          <w:kern w:val="0"/>
          <w:sz w:val="24"/>
          <w:lang w:val="zh-CN" w:bidi="zh-CN"/>
        </w:rPr>
        <w:t>申报全国行业协会级科技进步二等奖及以上（以公示或证书评测）。</w:t>
      </w:r>
    </w:p>
    <w:p w14:paraId="08103EEE">
      <w:pPr>
        <w:pStyle w:val="2"/>
        <w:numPr>
          <w:ilvl w:val="0"/>
          <w:numId w:val="0"/>
        </w:numPr>
        <w:jc w:val="center"/>
      </w:pPr>
      <w:r>
        <w:rPr>
          <w:rFonts w:hint="eastAsia"/>
        </w:rPr>
        <w:t>三、揭榜申请书及投榜书的编制</w:t>
      </w:r>
      <w:bookmarkEnd w:id="3"/>
      <w:bookmarkEnd w:id="4"/>
      <w:bookmarkEnd w:id="5"/>
    </w:p>
    <w:p w14:paraId="10A52461">
      <w:pPr>
        <w:overflowPunct w:val="0"/>
        <w:spacing w:line="580" w:lineRule="exact"/>
        <w:ind w:firstLine="480" w:firstLineChars="200"/>
        <w:contextualSpacing/>
        <w:rPr>
          <w:rFonts w:hint="eastAsia" w:ascii="宋体" w:hAnsi="宋体"/>
          <w:bCs/>
          <w:sz w:val="24"/>
        </w:rPr>
      </w:pPr>
      <w:bookmarkStart w:id="7" w:name="_Toc196209049"/>
      <w:bookmarkStart w:id="8" w:name="_Toc145730899"/>
      <w:bookmarkStart w:id="9" w:name="_Toc231814795"/>
      <w:bookmarkStart w:id="10" w:name="_Toc318215198"/>
      <w:r>
        <w:rPr>
          <w:rFonts w:hint="eastAsia" w:ascii="宋体" w:hAnsi="宋体"/>
          <w:bCs/>
          <w:sz w:val="24"/>
        </w:rPr>
        <w:t>投榜申请表见附件1。</w:t>
      </w:r>
    </w:p>
    <w:p w14:paraId="2AEB5F4B">
      <w:pPr>
        <w:overflowPunct w:val="0"/>
        <w:spacing w:line="580" w:lineRule="exact"/>
        <w:ind w:firstLine="480" w:firstLineChars="200"/>
        <w:contextualSpacing/>
        <w:rPr>
          <w:rFonts w:hint="eastAsia" w:ascii="宋体" w:hAnsi="宋体"/>
          <w:bCs/>
          <w:sz w:val="24"/>
        </w:rPr>
      </w:pPr>
      <w:r>
        <w:rPr>
          <w:rFonts w:hint="eastAsia" w:ascii="宋体" w:hAnsi="宋体"/>
          <w:bCs/>
          <w:sz w:val="24"/>
        </w:rPr>
        <w:t>投榜书需包括但不限于以下内容：投榜方资格证明文件（包含营业执照或事业单位法人证书复印件、法定代表人身份证明、法定代表人身份证复印件、授权委托书、受托人身份证复印件）、资质条件、科研能力、挂帅者和科研团队实力、项目实施计划方案、项目费用预算等内容，编制形成一本完整材料，封皮加盖法人公章。法定代表人身份证明及授权委托书格式见附件2。</w:t>
      </w:r>
    </w:p>
    <w:bookmarkEnd w:id="7"/>
    <w:bookmarkEnd w:id="8"/>
    <w:bookmarkEnd w:id="9"/>
    <w:bookmarkEnd w:id="10"/>
    <w:p w14:paraId="581EB0FB">
      <w:pPr>
        <w:pStyle w:val="2"/>
        <w:numPr>
          <w:ilvl w:val="0"/>
          <w:numId w:val="0"/>
        </w:numPr>
        <w:jc w:val="center"/>
      </w:pPr>
      <w:bookmarkStart w:id="11" w:name="_Toc145730907"/>
      <w:bookmarkStart w:id="12" w:name="_Toc231814803"/>
      <w:bookmarkStart w:id="13" w:name="_Toc491589963"/>
      <w:r>
        <w:rPr>
          <w:rFonts w:hint="eastAsia"/>
        </w:rPr>
        <w:t>四、投榜书递交</w:t>
      </w:r>
      <w:bookmarkEnd w:id="11"/>
      <w:bookmarkEnd w:id="12"/>
      <w:bookmarkEnd w:id="13"/>
    </w:p>
    <w:p w14:paraId="1D99B041">
      <w:pPr>
        <w:spacing w:line="360" w:lineRule="auto"/>
        <w:ind w:firstLine="482" w:firstLineChars="200"/>
        <w:rPr>
          <w:rFonts w:hint="eastAsia" w:ascii="宋体" w:hAnsi="宋体"/>
          <w:b/>
          <w:sz w:val="24"/>
        </w:rPr>
      </w:pPr>
      <w:bookmarkStart w:id="14" w:name="_Toc196209058"/>
      <w:bookmarkStart w:id="15" w:name="_Toc318215207"/>
      <w:bookmarkStart w:id="16" w:name="_Toc231814804"/>
      <w:bookmarkStart w:id="17" w:name="_Toc145730908"/>
      <w:r>
        <w:rPr>
          <w:rFonts w:hint="eastAsia" w:ascii="宋体" w:hAnsi="宋体"/>
          <w:b/>
          <w:sz w:val="24"/>
        </w:rPr>
        <w:t>（一）投榜书的密封和标记</w:t>
      </w:r>
      <w:bookmarkEnd w:id="14"/>
      <w:bookmarkEnd w:id="15"/>
      <w:bookmarkEnd w:id="16"/>
      <w:bookmarkEnd w:id="17"/>
    </w:p>
    <w:p w14:paraId="599A3A8C">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投标人应将投榜书密封在不透明的包封内。</w:t>
      </w:r>
    </w:p>
    <w:p w14:paraId="4D28B55C">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包封上需写明：</w:t>
      </w:r>
    </w:p>
    <w:p w14:paraId="58B3209F">
      <w:pPr>
        <w:autoSpaceDE w:val="0"/>
        <w:autoSpaceDN w:val="0"/>
        <w:adjustRightInd w:val="0"/>
        <w:spacing w:line="360" w:lineRule="auto"/>
        <w:ind w:firstLine="480" w:firstLineChars="200"/>
        <w:jc w:val="left"/>
        <w:rPr>
          <w:rFonts w:hint="eastAsia" w:ascii="宋体" w:hAnsi="宋体"/>
          <w:color w:val="FF0000"/>
          <w:sz w:val="24"/>
        </w:rPr>
      </w:pPr>
      <w:r>
        <w:rPr>
          <w:rFonts w:hint="eastAsia" w:ascii="宋体" w:hAnsi="宋体"/>
          <w:sz w:val="24"/>
        </w:rPr>
        <w:t>项目名称：</w:t>
      </w:r>
      <w:r>
        <w:rPr>
          <w:rFonts w:hint="eastAsia" w:ascii="宋体" w:hAnsi="宋体"/>
          <w:bCs/>
          <w:kern w:val="0"/>
          <w:sz w:val="24"/>
        </w:rPr>
        <w:t>城郊煤矿“压-注-切”一体化沿空留巷围岩变形控制技术研究</w:t>
      </w:r>
    </w:p>
    <w:p w14:paraId="21CD8190">
      <w:pPr>
        <w:spacing w:line="360" w:lineRule="auto"/>
        <w:ind w:firstLine="480" w:firstLineChars="200"/>
        <w:rPr>
          <w:rFonts w:hint="eastAsia" w:ascii="宋体" w:hAnsi="宋体"/>
          <w:sz w:val="24"/>
        </w:rPr>
      </w:pPr>
      <w:r>
        <w:rPr>
          <w:rFonts w:hint="eastAsia" w:ascii="宋体" w:hAnsi="宋体"/>
          <w:sz w:val="24"/>
        </w:rPr>
        <w:t>投标人名称：（盖公章）</w:t>
      </w:r>
    </w:p>
    <w:p w14:paraId="629CB587">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法定代表人或法定代表人授权代表：（签字或盖章）</w:t>
      </w:r>
    </w:p>
    <w:p w14:paraId="11DCAC15">
      <w:pPr>
        <w:spacing w:line="360" w:lineRule="auto"/>
        <w:ind w:firstLine="482" w:firstLineChars="200"/>
        <w:rPr>
          <w:rFonts w:hint="eastAsia" w:ascii="宋体" w:hAnsi="宋体"/>
          <w:b/>
          <w:sz w:val="24"/>
        </w:rPr>
      </w:pPr>
      <w:bookmarkStart w:id="18" w:name="_Toc231814805"/>
      <w:bookmarkStart w:id="19" w:name="_Toc196209059"/>
      <w:bookmarkStart w:id="20" w:name="_Toc318215208"/>
      <w:bookmarkStart w:id="21" w:name="_Toc145730909"/>
      <w:r>
        <w:rPr>
          <w:rFonts w:hint="eastAsia" w:ascii="宋体" w:hAnsi="宋体"/>
          <w:b/>
          <w:sz w:val="24"/>
        </w:rPr>
        <w:t>（二）投榜书递交截止时间</w:t>
      </w:r>
      <w:bookmarkEnd w:id="18"/>
      <w:bookmarkEnd w:id="19"/>
      <w:bookmarkEnd w:id="20"/>
      <w:bookmarkEnd w:id="21"/>
    </w:p>
    <w:p w14:paraId="441DBF7E">
      <w:pPr>
        <w:autoSpaceDE w:val="0"/>
        <w:autoSpaceDN w:val="0"/>
        <w:adjustRightInd w:val="0"/>
        <w:spacing w:line="360" w:lineRule="auto"/>
        <w:ind w:firstLine="480" w:firstLineChars="200"/>
        <w:rPr>
          <w:rFonts w:ascii="宋体"/>
          <w:sz w:val="24"/>
        </w:rPr>
      </w:pPr>
      <w:r>
        <w:rPr>
          <w:rFonts w:hint="eastAsia" w:ascii="宋体" w:hAnsi="宋体"/>
          <w:sz w:val="24"/>
        </w:rPr>
        <w:t>揭榜人须在规定的截止时间前将投榜书文件送达开标地点。投榜书有下列情形之一的，发榜人不予受理：（1）投榜书递交截止时间后送达的；（2）未按发榜公告要求提供材料的；（3）揭榜费用超过发榜公告费用的。</w:t>
      </w:r>
    </w:p>
    <w:p w14:paraId="351F1959">
      <w:pPr>
        <w:spacing w:line="360" w:lineRule="auto"/>
        <w:ind w:firstLine="482" w:firstLineChars="200"/>
        <w:rPr>
          <w:rFonts w:hint="eastAsia" w:ascii="宋体" w:hAnsi="宋体"/>
          <w:b/>
          <w:sz w:val="24"/>
        </w:rPr>
      </w:pPr>
      <w:r>
        <w:rPr>
          <w:rFonts w:hint="eastAsia" w:ascii="宋体" w:hAnsi="宋体"/>
          <w:b/>
          <w:sz w:val="24"/>
        </w:rPr>
        <w:t>（三）评榜文件递交方式</w:t>
      </w:r>
    </w:p>
    <w:p w14:paraId="450C29E5">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揭榜人采用现场递交方式。</w:t>
      </w:r>
    </w:p>
    <w:p w14:paraId="22269B03">
      <w:pPr>
        <w:pStyle w:val="2"/>
        <w:numPr>
          <w:ilvl w:val="0"/>
          <w:numId w:val="0"/>
        </w:numPr>
        <w:jc w:val="center"/>
      </w:pPr>
      <w:bookmarkStart w:id="22" w:name="_Toc145730911"/>
      <w:bookmarkStart w:id="23" w:name="_Toc231814807"/>
      <w:bookmarkStart w:id="24" w:name="_Toc491589964"/>
      <w:r>
        <w:rPr>
          <w:rFonts w:hint="eastAsia"/>
        </w:rPr>
        <w:t>五、</w:t>
      </w:r>
      <w:bookmarkEnd w:id="22"/>
      <w:bookmarkEnd w:id="23"/>
      <w:bookmarkEnd w:id="24"/>
      <w:r>
        <w:rPr>
          <w:rFonts w:hint="eastAsia"/>
        </w:rPr>
        <w:t>评榜选帅</w:t>
      </w:r>
    </w:p>
    <w:p w14:paraId="560539E7">
      <w:pPr>
        <w:autoSpaceDE w:val="0"/>
        <w:autoSpaceDN w:val="0"/>
        <w:adjustRightInd w:val="0"/>
        <w:spacing w:line="360" w:lineRule="auto"/>
        <w:ind w:firstLine="480" w:firstLineChars="200"/>
        <w:rPr>
          <w:rFonts w:ascii="宋体"/>
          <w:sz w:val="24"/>
        </w:rPr>
      </w:pPr>
      <w:r>
        <w:rPr>
          <w:rFonts w:hint="eastAsia" w:ascii="宋体" w:hAnsi="宋体"/>
          <w:sz w:val="24"/>
        </w:rPr>
        <w:t>（一）评榜时间：</w:t>
      </w:r>
      <w:r>
        <w:rPr>
          <w:rFonts w:hint="eastAsia" w:ascii="宋体" w:hAnsi="宋体"/>
          <w:kern w:val="0"/>
          <w:sz w:val="24"/>
        </w:rPr>
        <w:t>待定</w:t>
      </w:r>
    </w:p>
    <w:p w14:paraId="68F6E049">
      <w:pPr>
        <w:autoSpaceDE w:val="0"/>
        <w:autoSpaceDN w:val="0"/>
        <w:adjustRightInd w:val="0"/>
        <w:spacing w:line="360" w:lineRule="auto"/>
        <w:ind w:firstLine="480" w:firstLineChars="200"/>
        <w:rPr>
          <w:rFonts w:hint="eastAsia" w:ascii="宋体" w:hAnsi="宋体"/>
          <w:sz w:val="24"/>
        </w:rPr>
      </w:pPr>
      <w:bookmarkStart w:id="25" w:name="_Toc318215214"/>
      <w:bookmarkStart w:id="26" w:name="_Toc196209065"/>
      <w:bookmarkStart w:id="27" w:name="_Toc231814811"/>
      <w:bookmarkStart w:id="28" w:name="_Toc145730915"/>
      <w:r>
        <w:rPr>
          <w:rFonts w:hint="eastAsia" w:ascii="宋体" w:hAnsi="宋体"/>
          <w:sz w:val="24"/>
        </w:rPr>
        <w:t>（二）评榜程序：永煤集团科技管理部门组织有关专家对揭榜方申请表和投榜书进行评估，形成专家评估意见，选出拟挂帅者。</w:t>
      </w:r>
      <w:bookmarkEnd w:id="25"/>
      <w:bookmarkEnd w:id="26"/>
      <w:bookmarkEnd w:id="27"/>
      <w:bookmarkEnd w:id="28"/>
      <w:bookmarkStart w:id="29" w:name="_Toc231814820"/>
      <w:bookmarkStart w:id="30" w:name="_Toc145730924"/>
      <w:bookmarkStart w:id="31" w:name="_Toc491589966"/>
    </w:p>
    <w:p w14:paraId="749432A5">
      <w:pPr>
        <w:pStyle w:val="2"/>
        <w:numPr>
          <w:ilvl w:val="0"/>
          <w:numId w:val="0"/>
        </w:numPr>
        <w:jc w:val="center"/>
        <w:rPr>
          <w:rFonts w:hint="eastAsia" w:ascii="仿宋" w:hAnsi="仿宋" w:eastAsia="仿宋"/>
          <w:szCs w:val="32"/>
        </w:rPr>
      </w:pPr>
      <w:r>
        <w:rPr>
          <w:rFonts w:hint="eastAsia"/>
        </w:rPr>
        <w:t>六、</w:t>
      </w:r>
      <w:bookmarkEnd w:id="29"/>
      <w:bookmarkEnd w:id="30"/>
      <w:bookmarkEnd w:id="31"/>
      <w:r>
        <w:rPr>
          <w:rFonts w:hint="eastAsia"/>
        </w:rPr>
        <w:t>中榜挂帅</w:t>
      </w:r>
    </w:p>
    <w:p w14:paraId="5A959562">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永煤集团科技管理部门将评估结果按程序进行报批，最终确定中榜方和挂帅者。</w:t>
      </w:r>
    </w:p>
    <w:p w14:paraId="3FEE1220">
      <w:pPr>
        <w:pStyle w:val="2"/>
        <w:numPr>
          <w:ilvl w:val="0"/>
          <w:numId w:val="0"/>
        </w:numPr>
        <w:jc w:val="center"/>
      </w:pPr>
      <w:r>
        <w:rPr>
          <w:rFonts w:hint="eastAsia"/>
        </w:rPr>
        <w:t>七、签军令状</w:t>
      </w:r>
    </w:p>
    <w:p w14:paraId="33EF5328">
      <w:pPr>
        <w:spacing w:line="360" w:lineRule="auto"/>
        <w:ind w:firstLine="480" w:firstLineChars="200"/>
        <w:rPr>
          <w:rFonts w:hint="eastAsia" w:ascii="宋体" w:hAnsi="宋体"/>
          <w:sz w:val="24"/>
        </w:rPr>
      </w:pPr>
      <w:bookmarkStart w:id="32" w:name="_Toc145730925"/>
      <w:bookmarkStart w:id="33" w:name="_Toc196209075"/>
      <w:bookmarkStart w:id="34" w:name="_Toc231814821"/>
      <w:bookmarkStart w:id="35" w:name="_Toc318215223"/>
      <w:r>
        <w:rPr>
          <w:rFonts w:hint="eastAsia" w:ascii="宋体" w:hAnsi="宋体"/>
          <w:sz w:val="24"/>
        </w:rPr>
        <w:t>发榜方与中榜方签订军令状（技术合同），双方签字盖章后生效。发榜方项目承担单位与中榜方要按照国家相关法律法规规定，在技术合同中约定知识产权的归属和分配，避免产生知识产权纠纷</w:t>
      </w:r>
      <w:bookmarkEnd w:id="32"/>
      <w:bookmarkEnd w:id="33"/>
      <w:bookmarkEnd w:id="34"/>
      <w:bookmarkEnd w:id="35"/>
      <w:bookmarkStart w:id="36" w:name="_Toc491589970"/>
      <w:bookmarkEnd w:id="36"/>
      <w:r>
        <w:rPr>
          <w:rFonts w:hint="eastAsia" w:ascii="宋体" w:hAnsi="宋体"/>
          <w:sz w:val="24"/>
        </w:rPr>
        <w:t>，并到集团公司科技管理部门备案。</w:t>
      </w:r>
    </w:p>
    <w:p w14:paraId="1B5BAA68">
      <w:pPr>
        <w:spacing w:line="360" w:lineRule="auto"/>
        <w:ind w:firstLine="640" w:firstLineChars="200"/>
        <w:rPr>
          <w:rFonts w:hint="eastAsia" w:ascii="仿宋" w:hAnsi="仿宋" w:eastAsia="仿宋" w:cs="仿宋"/>
          <w:kern w:val="0"/>
          <w:sz w:val="32"/>
          <w:szCs w:val="32"/>
        </w:rPr>
      </w:pPr>
      <w:r>
        <w:rPr>
          <w:rFonts w:ascii="仿宋" w:hAnsi="仿宋" w:eastAsia="仿宋" w:cs="仿宋"/>
          <w:kern w:val="0"/>
          <w:sz w:val="32"/>
          <w:szCs w:val="32"/>
        </w:rPr>
        <w:br w:type="page"/>
      </w:r>
    </w:p>
    <w:p w14:paraId="790C7885">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附件1</w:t>
      </w:r>
    </w:p>
    <w:p w14:paraId="634610C8">
      <w:pPr>
        <w:spacing w:line="580" w:lineRule="exact"/>
        <w:jc w:val="center"/>
        <w:rPr>
          <w:rFonts w:hint="eastAsia" w:ascii="微软雅黑 Light" w:hAnsi="微软雅黑 Light" w:eastAsia="微软雅黑 Light" w:cs="微软雅黑 Light"/>
          <w:sz w:val="44"/>
          <w:szCs w:val="44"/>
        </w:rPr>
      </w:pPr>
      <w:r>
        <w:rPr>
          <w:rFonts w:hint="eastAsia" w:ascii="微软雅黑 Light" w:hAnsi="微软雅黑 Light" w:eastAsia="微软雅黑 Light" w:cs="微软雅黑 Light"/>
          <w:sz w:val="44"/>
          <w:szCs w:val="44"/>
        </w:rPr>
        <w:t>河南能源永煤公司揭榜投榜申请表</w:t>
      </w:r>
    </w:p>
    <w:tbl>
      <w:tblPr>
        <w:tblStyle w:val="41"/>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1417"/>
        <w:gridCol w:w="1560"/>
        <w:gridCol w:w="1702"/>
        <w:gridCol w:w="1799"/>
        <w:gridCol w:w="2169"/>
      </w:tblGrid>
      <w:tr w14:paraId="5DE1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3AD87716">
            <w:pPr>
              <w:spacing w:line="580" w:lineRule="exact"/>
              <w:jc w:val="center"/>
              <w:rPr>
                <w:rFonts w:hint="eastAsia" w:ascii="仿宋" w:hAnsi="仿宋" w:eastAsia="仿宋"/>
                <w:sz w:val="30"/>
                <w:szCs w:val="30"/>
              </w:rPr>
            </w:pPr>
            <w:r>
              <w:rPr>
                <w:rFonts w:hint="eastAsia" w:ascii="仿宋" w:hAnsi="仿宋" w:eastAsia="仿宋"/>
                <w:sz w:val="30"/>
                <w:szCs w:val="30"/>
              </w:rPr>
              <w:t>发榜项目名称</w:t>
            </w:r>
          </w:p>
        </w:tc>
        <w:tc>
          <w:tcPr>
            <w:tcW w:w="7230" w:type="dxa"/>
            <w:gridSpan w:val="4"/>
          </w:tcPr>
          <w:p w14:paraId="3115DEE1">
            <w:pPr>
              <w:spacing w:line="580" w:lineRule="exact"/>
              <w:jc w:val="center"/>
              <w:rPr>
                <w:rFonts w:hint="eastAsia" w:ascii="仿宋" w:hAnsi="仿宋" w:eastAsia="仿宋"/>
                <w:sz w:val="30"/>
                <w:szCs w:val="30"/>
              </w:rPr>
            </w:pPr>
          </w:p>
        </w:tc>
      </w:tr>
      <w:tr w14:paraId="23992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tcPr>
          <w:p w14:paraId="69AC1785">
            <w:pPr>
              <w:spacing w:line="580" w:lineRule="exact"/>
              <w:jc w:val="center"/>
              <w:rPr>
                <w:rFonts w:hint="eastAsia" w:ascii="仿宋" w:hAnsi="仿宋" w:eastAsia="仿宋"/>
                <w:sz w:val="30"/>
                <w:szCs w:val="30"/>
              </w:rPr>
            </w:pPr>
            <w:r>
              <w:rPr>
                <w:rFonts w:hint="eastAsia" w:ascii="仿宋" w:hAnsi="仿宋" w:eastAsia="仿宋"/>
                <w:sz w:val="30"/>
                <w:szCs w:val="30"/>
              </w:rPr>
              <w:t>揭榜方单位名称</w:t>
            </w:r>
          </w:p>
        </w:tc>
        <w:tc>
          <w:tcPr>
            <w:tcW w:w="7230" w:type="dxa"/>
            <w:gridSpan w:val="4"/>
          </w:tcPr>
          <w:p w14:paraId="1C405B71">
            <w:pPr>
              <w:spacing w:line="580" w:lineRule="exact"/>
              <w:jc w:val="center"/>
              <w:rPr>
                <w:rFonts w:hint="eastAsia" w:ascii="仿宋" w:hAnsi="仿宋" w:eastAsia="仿宋"/>
                <w:sz w:val="30"/>
                <w:szCs w:val="30"/>
              </w:rPr>
            </w:pPr>
          </w:p>
        </w:tc>
      </w:tr>
      <w:tr w14:paraId="716D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restart"/>
            <w:vAlign w:val="center"/>
          </w:tcPr>
          <w:p w14:paraId="3BEB21A9">
            <w:pPr>
              <w:spacing w:line="400" w:lineRule="exact"/>
              <w:jc w:val="center"/>
              <w:rPr>
                <w:rFonts w:hint="eastAsia" w:ascii="仿宋" w:hAnsi="仿宋" w:eastAsia="仿宋"/>
                <w:sz w:val="30"/>
                <w:szCs w:val="30"/>
              </w:rPr>
            </w:pPr>
            <w:r>
              <w:rPr>
                <w:rFonts w:hint="eastAsia" w:ascii="仿宋" w:hAnsi="仿宋" w:eastAsia="仿宋"/>
                <w:sz w:val="30"/>
                <w:szCs w:val="30"/>
              </w:rPr>
              <w:t>揭榜方科研</w:t>
            </w:r>
          </w:p>
          <w:p w14:paraId="6EC2B041">
            <w:pPr>
              <w:spacing w:line="400" w:lineRule="exact"/>
              <w:jc w:val="center"/>
              <w:rPr>
                <w:rFonts w:hint="eastAsia" w:ascii="仿宋" w:hAnsi="仿宋" w:eastAsia="仿宋"/>
                <w:sz w:val="30"/>
                <w:szCs w:val="30"/>
              </w:rPr>
            </w:pPr>
            <w:r>
              <w:rPr>
                <w:rFonts w:hint="eastAsia" w:ascii="仿宋" w:hAnsi="仿宋" w:eastAsia="仿宋"/>
                <w:sz w:val="30"/>
                <w:szCs w:val="30"/>
              </w:rPr>
              <w:t>团队</w:t>
            </w:r>
          </w:p>
          <w:p w14:paraId="768904DE">
            <w:pPr>
              <w:spacing w:line="400" w:lineRule="exact"/>
              <w:jc w:val="center"/>
              <w:rPr>
                <w:rFonts w:hint="eastAsia" w:ascii="仿宋" w:hAnsi="仿宋" w:eastAsia="仿宋"/>
                <w:sz w:val="30"/>
                <w:szCs w:val="30"/>
              </w:rPr>
            </w:pPr>
            <w:r>
              <w:rPr>
                <w:rFonts w:hint="eastAsia" w:ascii="仿宋" w:hAnsi="仿宋" w:eastAsia="仿宋"/>
                <w:sz w:val="30"/>
                <w:szCs w:val="30"/>
              </w:rPr>
              <w:t>力量</w:t>
            </w:r>
          </w:p>
        </w:tc>
        <w:tc>
          <w:tcPr>
            <w:tcW w:w="1417" w:type="dxa"/>
            <w:vAlign w:val="center"/>
          </w:tcPr>
          <w:p w14:paraId="3BE56C95">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职责</w:t>
            </w:r>
          </w:p>
        </w:tc>
        <w:tc>
          <w:tcPr>
            <w:tcW w:w="1560" w:type="dxa"/>
          </w:tcPr>
          <w:p w14:paraId="7785FDF1">
            <w:pPr>
              <w:spacing w:before="100" w:beforeAutospacing="1" w:after="100" w:afterAutospacing="1" w:line="580" w:lineRule="exact"/>
              <w:jc w:val="center"/>
              <w:rPr>
                <w:rFonts w:hint="eastAsia" w:ascii="仿宋" w:hAnsi="仿宋" w:eastAsia="仿宋"/>
                <w:sz w:val="30"/>
                <w:szCs w:val="30"/>
              </w:rPr>
            </w:pPr>
          </w:p>
        </w:tc>
        <w:tc>
          <w:tcPr>
            <w:tcW w:w="1702" w:type="dxa"/>
          </w:tcPr>
          <w:p w14:paraId="2C23A8AB">
            <w:pPr>
              <w:spacing w:line="580" w:lineRule="exact"/>
              <w:jc w:val="center"/>
              <w:rPr>
                <w:rFonts w:hint="eastAsia" w:ascii="仿宋" w:hAnsi="仿宋" w:eastAsia="仿宋"/>
                <w:sz w:val="30"/>
                <w:szCs w:val="30"/>
              </w:rPr>
            </w:pPr>
          </w:p>
        </w:tc>
        <w:tc>
          <w:tcPr>
            <w:tcW w:w="1799" w:type="dxa"/>
          </w:tcPr>
          <w:p w14:paraId="34E68039">
            <w:pPr>
              <w:spacing w:line="580" w:lineRule="exact"/>
              <w:jc w:val="center"/>
              <w:rPr>
                <w:rFonts w:hint="eastAsia" w:ascii="仿宋" w:hAnsi="仿宋" w:eastAsia="仿宋"/>
                <w:sz w:val="30"/>
                <w:szCs w:val="30"/>
              </w:rPr>
            </w:pPr>
          </w:p>
        </w:tc>
        <w:tc>
          <w:tcPr>
            <w:tcW w:w="2169" w:type="dxa"/>
          </w:tcPr>
          <w:p w14:paraId="282DD065">
            <w:pPr>
              <w:spacing w:line="580" w:lineRule="exact"/>
              <w:jc w:val="center"/>
              <w:rPr>
                <w:rFonts w:hint="eastAsia" w:ascii="仿宋" w:hAnsi="仿宋" w:eastAsia="仿宋"/>
                <w:sz w:val="30"/>
                <w:szCs w:val="30"/>
              </w:rPr>
            </w:pPr>
          </w:p>
        </w:tc>
      </w:tr>
      <w:tr w14:paraId="3755D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vAlign w:val="center"/>
          </w:tcPr>
          <w:p w14:paraId="24929F67">
            <w:pPr>
              <w:spacing w:line="580" w:lineRule="exact"/>
              <w:jc w:val="center"/>
              <w:rPr>
                <w:rFonts w:hint="eastAsia" w:ascii="仿宋" w:hAnsi="仿宋" w:eastAsia="仿宋"/>
                <w:sz w:val="30"/>
                <w:szCs w:val="30"/>
              </w:rPr>
            </w:pPr>
          </w:p>
        </w:tc>
        <w:tc>
          <w:tcPr>
            <w:tcW w:w="1417" w:type="dxa"/>
            <w:vAlign w:val="center"/>
          </w:tcPr>
          <w:p w14:paraId="341779A4">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挂帅者</w:t>
            </w:r>
          </w:p>
        </w:tc>
        <w:tc>
          <w:tcPr>
            <w:tcW w:w="1560" w:type="dxa"/>
          </w:tcPr>
          <w:p w14:paraId="06284275">
            <w:pPr>
              <w:spacing w:line="580" w:lineRule="exact"/>
              <w:jc w:val="center"/>
              <w:rPr>
                <w:rFonts w:hint="eastAsia" w:ascii="仿宋" w:hAnsi="仿宋" w:eastAsia="仿宋"/>
                <w:sz w:val="30"/>
                <w:szCs w:val="30"/>
              </w:rPr>
            </w:pPr>
          </w:p>
        </w:tc>
        <w:tc>
          <w:tcPr>
            <w:tcW w:w="1702" w:type="dxa"/>
          </w:tcPr>
          <w:p w14:paraId="0000AF11">
            <w:pPr>
              <w:spacing w:line="580" w:lineRule="exact"/>
              <w:jc w:val="center"/>
              <w:rPr>
                <w:rFonts w:hint="eastAsia" w:ascii="仿宋" w:hAnsi="仿宋" w:eastAsia="仿宋"/>
                <w:sz w:val="30"/>
                <w:szCs w:val="30"/>
              </w:rPr>
            </w:pPr>
          </w:p>
        </w:tc>
        <w:tc>
          <w:tcPr>
            <w:tcW w:w="1799" w:type="dxa"/>
          </w:tcPr>
          <w:p w14:paraId="51832065">
            <w:pPr>
              <w:spacing w:line="580" w:lineRule="exact"/>
              <w:jc w:val="center"/>
              <w:rPr>
                <w:rFonts w:hint="eastAsia" w:ascii="仿宋" w:hAnsi="仿宋" w:eastAsia="仿宋"/>
                <w:sz w:val="30"/>
                <w:szCs w:val="30"/>
              </w:rPr>
            </w:pPr>
          </w:p>
        </w:tc>
        <w:tc>
          <w:tcPr>
            <w:tcW w:w="2169" w:type="dxa"/>
          </w:tcPr>
          <w:p w14:paraId="6083FB19">
            <w:pPr>
              <w:spacing w:line="580" w:lineRule="exact"/>
              <w:jc w:val="center"/>
              <w:rPr>
                <w:rFonts w:hint="eastAsia" w:ascii="仿宋" w:hAnsi="仿宋" w:eastAsia="仿宋"/>
                <w:sz w:val="30"/>
                <w:szCs w:val="30"/>
              </w:rPr>
            </w:pPr>
          </w:p>
        </w:tc>
      </w:tr>
      <w:tr w14:paraId="6FBD5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52B1D4F2">
            <w:pPr>
              <w:spacing w:line="580" w:lineRule="exact"/>
              <w:jc w:val="center"/>
              <w:rPr>
                <w:rFonts w:hint="eastAsia" w:ascii="仿宋" w:hAnsi="仿宋" w:eastAsia="仿宋"/>
                <w:sz w:val="30"/>
                <w:szCs w:val="30"/>
              </w:rPr>
            </w:pPr>
          </w:p>
        </w:tc>
        <w:tc>
          <w:tcPr>
            <w:tcW w:w="1417" w:type="dxa"/>
            <w:vMerge w:val="restart"/>
            <w:vAlign w:val="center"/>
          </w:tcPr>
          <w:p w14:paraId="69C5C0E6">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核心人员</w:t>
            </w:r>
          </w:p>
        </w:tc>
        <w:tc>
          <w:tcPr>
            <w:tcW w:w="1560" w:type="dxa"/>
          </w:tcPr>
          <w:p w14:paraId="225083FA">
            <w:pPr>
              <w:spacing w:line="580" w:lineRule="exact"/>
              <w:jc w:val="center"/>
              <w:rPr>
                <w:rFonts w:hint="eastAsia" w:ascii="仿宋" w:hAnsi="仿宋" w:eastAsia="仿宋"/>
                <w:sz w:val="30"/>
                <w:szCs w:val="30"/>
              </w:rPr>
            </w:pPr>
          </w:p>
        </w:tc>
        <w:tc>
          <w:tcPr>
            <w:tcW w:w="1702" w:type="dxa"/>
          </w:tcPr>
          <w:p w14:paraId="09BA9180">
            <w:pPr>
              <w:spacing w:line="580" w:lineRule="exact"/>
              <w:jc w:val="center"/>
              <w:rPr>
                <w:rFonts w:hint="eastAsia" w:ascii="仿宋" w:hAnsi="仿宋" w:eastAsia="仿宋"/>
                <w:sz w:val="30"/>
                <w:szCs w:val="30"/>
              </w:rPr>
            </w:pPr>
          </w:p>
        </w:tc>
        <w:tc>
          <w:tcPr>
            <w:tcW w:w="1799" w:type="dxa"/>
          </w:tcPr>
          <w:p w14:paraId="36E0B4E6">
            <w:pPr>
              <w:spacing w:line="580" w:lineRule="exact"/>
              <w:jc w:val="center"/>
              <w:rPr>
                <w:rFonts w:hint="eastAsia" w:ascii="仿宋" w:hAnsi="仿宋" w:eastAsia="仿宋"/>
                <w:sz w:val="30"/>
                <w:szCs w:val="30"/>
              </w:rPr>
            </w:pPr>
          </w:p>
        </w:tc>
        <w:tc>
          <w:tcPr>
            <w:tcW w:w="2169" w:type="dxa"/>
          </w:tcPr>
          <w:p w14:paraId="7B1C5CFE">
            <w:pPr>
              <w:spacing w:line="580" w:lineRule="exact"/>
              <w:jc w:val="center"/>
              <w:rPr>
                <w:rFonts w:hint="eastAsia" w:ascii="仿宋" w:hAnsi="仿宋" w:eastAsia="仿宋"/>
                <w:sz w:val="30"/>
                <w:szCs w:val="30"/>
              </w:rPr>
            </w:pPr>
          </w:p>
        </w:tc>
      </w:tr>
      <w:tr w14:paraId="0E40C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0F4E86E3">
            <w:pPr>
              <w:spacing w:line="580" w:lineRule="exact"/>
              <w:jc w:val="center"/>
              <w:rPr>
                <w:rFonts w:hint="eastAsia" w:ascii="仿宋" w:hAnsi="仿宋" w:eastAsia="仿宋"/>
                <w:sz w:val="30"/>
                <w:szCs w:val="30"/>
              </w:rPr>
            </w:pPr>
          </w:p>
        </w:tc>
        <w:tc>
          <w:tcPr>
            <w:tcW w:w="1417" w:type="dxa"/>
            <w:vMerge w:val="continue"/>
            <w:vAlign w:val="center"/>
          </w:tcPr>
          <w:p w14:paraId="5299674A">
            <w:pPr>
              <w:spacing w:before="100" w:beforeAutospacing="1" w:after="100" w:afterAutospacing="1" w:line="580" w:lineRule="exact"/>
              <w:jc w:val="center"/>
              <w:rPr>
                <w:rFonts w:hint="eastAsia" w:ascii="仿宋" w:hAnsi="仿宋" w:eastAsia="仿宋"/>
                <w:sz w:val="30"/>
                <w:szCs w:val="30"/>
              </w:rPr>
            </w:pPr>
          </w:p>
        </w:tc>
        <w:tc>
          <w:tcPr>
            <w:tcW w:w="1560" w:type="dxa"/>
          </w:tcPr>
          <w:p w14:paraId="621C5DE5">
            <w:pPr>
              <w:spacing w:line="580" w:lineRule="exact"/>
              <w:jc w:val="center"/>
              <w:rPr>
                <w:rFonts w:hint="eastAsia" w:ascii="仿宋" w:hAnsi="仿宋" w:eastAsia="仿宋"/>
                <w:sz w:val="30"/>
                <w:szCs w:val="30"/>
              </w:rPr>
            </w:pPr>
          </w:p>
        </w:tc>
        <w:tc>
          <w:tcPr>
            <w:tcW w:w="1702" w:type="dxa"/>
          </w:tcPr>
          <w:p w14:paraId="754AF620">
            <w:pPr>
              <w:spacing w:line="580" w:lineRule="exact"/>
              <w:jc w:val="center"/>
              <w:rPr>
                <w:rFonts w:hint="eastAsia" w:ascii="仿宋" w:hAnsi="仿宋" w:eastAsia="仿宋"/>
                <w:sz w:val="30"/>
                <w:szCs w:val="30"/>
              </w:rPr>
            </w:pPr>
          </w:p>
        </w:tc>
        <w:tc>
          <w:tcPr>
            <w:tcW w:w="1799" w:type="dxa"/>
          </w:tcPr>
          <w:p w14:paraId="57D124F5">
            <w:pPr>
              <w:spacing w:line="580" w:lineRule="exact"/>
              <w:jc w:val="center"/>
              <w:rPr>
                <w:rFonts w:hint="eastAsia" w:ascii="仿宋" w:hAnsi="仿宋" w:eastAsia="仿宋"/>
                <w:sz w:val="30"/>
                <w:szCs w:val="30"/>
              </w:rPr>
            </w:pPr>
          </w:p>
        </w:tc>
        <w:tc>
          <w:tcPr>
            <w:tcW w:w="2169" w:type="dxa"/>
          </w:tcPr>
          <w:p w14:paraId="0D83A43F">
            <w:pPr>
              <w:spacing w:line="580" w:lineRule="exact"/>
              <w:jc w:val="center"/>
              <w:rPr>
                <w:rFonts w:hint="eastAsia" w:ascii="仿宋" w:hAnsi="仿宋" w:eastAsia="仿宋"/>
                <w:sz w:val="30"/>
                <w:szCs w:val="30"/>
              </w:rPr>
            </w:pPr>
          </w:p>
        </w:tc>
      </w:tr>
      <w:tr w14:paraId="30FC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29E14BE6">
            <w:pPr>
              <w:spacing w:line="580" w:lineRule="exact"/>
              <w:jc w:val="center"/>
              <w:rPr>
                <w:rFonts w:hint="eastAsia" w:ascii="仿宋" w:hAnsi="仿宋" w:eastAsia="仿宋"/>
                <w:sz w:val="30"/>
                <w:szCs w:val="30"/>
              </w:rPr>
            </w:pPr>
          </w:p>
        </w:tc>
        <w:tc>
          <w:tcPr>
            <w:tcW w:w="1417" w:type="dxa"/>
            <w:vMerge w:val="restart"/>
            <w:vAlign w:val="center"/>
          </w:tcPr>
          <w:p w14:paraId="43BA3D18">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其他成员</w:t>
            </w:r>
          </w:p>
        </w:tc>
        <w:tc>
          <w:tcPr>
            <w:tcW w:w="1560" w:type="dxa"/>
          </w:tcPr>
          <w:p w14:paraId="2E417332">
            <w:pPr>
              <w:spacing w:line="580" w:lineRule="exact"/>
              <w:jc w:val="center"/>
              <w:rPr>
                <w:rFonts w:hint="eastAsia" w:ascii="仿宋" w:hAnsi="仿宋" w:eastAsia="仿宋"/>
                <w:sz w:val="30"/>
                <w:szCs w:val="30"/>
              </w:rPr>
            </w:pPr>
          </w:p>
        </w:tc>
        <w:tc>
          <w:tcPr>
            <w:tcW w:w="1702" w:type="dxa"/>
          </w:tcPr>
          <w:p w14:paraId="7E27E466">
            <w:pPr>
              <w:spacing w:line="580" w:lineRule="exact"/>
              <w:jc w:val="center"/>
              <w:rPr>
                <w:rFonts w:hint="eastAsia" w:ascii="仿宋" w:hAnsi="仿宋" w:eastAsia="仿宋"/>
                <w:sz w:val="30"/>
                <w:szCs w:val="30"/>
              </w:rPr>
            </w:pPr>
          </w:p>
        </w:tc>
        <w:tc>
          <w:tcPr>
            <w:tcW w:w="1799" w:type="dxa"/>
          </w:tcPr>
          <w:p w14:paraId="76C9B347">
            <w:pPr>
              <w:spacing w:line="580" w:lineRule="exact"/>
              <w:jc w:val="center"/>
              <w:rPr>
                <w:rFonts w:hint="eastAsia" w:ascii="仿宋" w:hAnsi="仿宋" w:eastAsia="仿宋"/>
                <w:sz w:val="30"/>
                <w:szCs w:val="30"/>
              </w:rPr>
            </w:pPr>
          </w:p>
        </w:tc>
        <w:tc>
          <w:tcPr>
            <w:tcW w:w="2169" w:type="dxa"/>
          </w:tcPr>
          <w:p w14:paraId="62457AAC">
            <w:pPr>
              <w:spacing w:line="580" w:lineRule="exact"/>
              <w:jc w:val="center"/>
              <w:rPr>
                <w:rFonts w:hint="eastAsia" w:ascii="仿宋" w:hAnsi="仿宋" w:eastAsia="仿宋"/>
                <w:sz w:val="30"/>
                <w:szCs w:val="30"/>
              </w:rPr>
            </w:pPr>
          </w:p>
        </w:tc>
      </w:tr>
      <w:tr w14:paraId="1030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1FA6D8F2">
            <w:pPr>
              <w:spacing w:line="580" w:lineRule="exact"/>
              <w:jc w:val="center"/>
              <w:rPr>
                <w:rFonts w:hint="eastAsia" w:ascii="仿宋" w:hAnsi="仿宋" w:eastAsia="仿宋"/>
                <w:sz w:val="30"/>
                <w:szCs w:val="30"/>
              </w:rPr>
            </w:pPr>
          </w:p>
        </w:tc>
        <w:tc>
          <w:tcPr>
            <w:tcW w:w="1417" w:type="dxa"/>
            <w:vMerge w:val="continue"/>
            <w:vAlign w:val="center"/>
          </w:tcPr>
          <w:p w14:paraId="5EDD7C0D">
            <w:pPr>
              <w:spacing w:before="100" w:beforeAutospacing="1" w:after="100" w:afterAutospacing="1" w:line="580" w:lineRule="exact"/>
              <w:jc w:val="center"/>
              <w:rPr>
                <w:rFonts w:hint="eastAsia" w:ascii="仿宋" w:hAnsi="仿宋" w:eastAsia="仿宋"/>
                <w:sz w:val="30"/>
                <w:szCs w:val="30"/>
              </w:rPr>
            </w:pPr>
          </w:p>
        </w:tc>
        <w:tc>
          <w:tcPr>
            <w:tcW w:w="1560" w:type="dxa"/>
          </w:tcPr>
          <w:p w14:paraId="71ECEB24">
            <w:pPr>
              <w:spacing w:line="580" w:lineRule="exact"/>
              <w:jc w:val="center"/>
              <w:rPr>
                <w:rFonts w:hint="eastAsia" w:ascii="仿宋" w:hAnsi="仿宋" w:eastAsia="仿宋"/>
                <w:sz w:val="30"/>
                <w:szCs w:val="30"/>
              </w:rPr>
            </w:pPr>
          </w:p>
        </w:tc>
        <w:tc>
          <w:tcPr>
            <w:tcW w:w="1702" w:type="dxa"/>
          </w:tcPr>
          <w:p w14:paraId="2905BDEA">
            <w:pPr>
              <w:spacing w:line="580" w:lineRule="exact"/>
              <w:jc w:val="center"/>
              <w:rPr>
                <w:rFonts w:hint="eastAsia" w:ascii="仿宋" w:hAnsi="仿宋" w:eastAsia="仿宋"/>
                <w:sz w:val="30"/>
                <w:szCs w:val="30"/>
              </w:rPr>
            </w:pPr>
          </w:p>
        </w:tc>
        <w:tc>
          <w:tcPr>
            <w:tcW w:w="1799" w:type="dxa"/>
          </w:tcPr>
          <w:p w14:paraId="5C537AF8">
            <w:pPr>
              <w:spacing w:line="580" w:lineRule="exact"/>
              <w:jc w:val="center"/>
              <w:rPr>
                <w:rFonts w:hint="eastAsia" w:ascii="仿宋" w:hAnsi="仿宋" w:eastAsia="仿宋"/>
                <w:sz w:val="30"/>
                <w:szCs w:val="30"/>
              </w:rPr>
            </w:pPr>
          </w:p>
        </w:tc>
        <w:tc>
          <w:tcPr>
            <w:tcW w:w="2169" w:type="dxa"/>
          </w:tcPr>
          <w:p w14:paraId="09A16872">
            <w:pPr>
              <w:spacing w:line="580" w:lineRule="exact"/>
              <w:jc w:val="center"/>
              <w:rPr>
                <w:rFonts w:hint="eastAsia" w:ascii="仿宋" w:hAnsi="仿宋" w:eastAsia="仿宋"/>
                <w:sz w:val="30"/>
                <w:szCs w:val="30"/>
              </w:rPr>
            </w:pPr>
          </w:p>
        </w:tc>
      </w:tr>
      <w:tr w14:paraId="5A69C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3" w:type="dxa"/>
            <w:vMerge w:val="continue"/>
          </w:tcPr>
          <w:p w14:paraId="6FBC2FCB">
            <w:pPr>
              <w:spacing w:line="580" w:lineRule="exact"/>
              <w:jc w:val="center"/>
              <w:rPr>
                <w:rFonts w:hint="eastAsia" w:ascii="仿宋" w:hAnsi="仿宋" w:eastAsia="仿宋"/>
                <w:sz w:val="30"/>
                <w:szCs w:val="30"/>
              </w:rPr>
            </w:pPr>
          </w:p>
        </w:tc>
        <w:tc>
          <w:tcPr>
            <w:tcW w:w="1417" w:type="dxa"/>
            <w:vMerge w:val="continue"/>
            <w:vAlign w:val="center"/>
          </w:tcPr>
          <w:p w14:paraId="21827BCE">
            <w:pPr>
              <w:spacing w:before="100" w:beforeAutospacing="1" w:after="100" w:afterAutospacing="1" w:line="580" w:lineRule="exact"/>
              <w:jc w:val="center"/>
              <w:rPr>
                <w:rFonts w:hint="eastAsia" w:ascii="仿宋" w:hAnsi="仿宋" w:eastAsia="仿宋"/>
                <w:sz w:val="30"/>
                <w:szCs w:val="30"/>
              </w:rPr>
            </w:pPr>
          </w:p>
        </w:tc>
        <w:tc>
          <w:tcPr>
            <w:tcW w:w="1560" w:type="dxa"/>
          </w:tcPr>
          <w:p w14:paraId="25D44775">
            <w:pPr>
              <w:spacing w:line="580" w:lineRule="exact"/>
              <w:jc w:val="center"/>
              <w:rPr>
                <w:rFonts w:hint="eastAsia" w:ascii="仿宋" w:hAnsi="仿宋" w:eastAsia="仿宋"/>
                <w:sz w:val="30"/>
                <w:szCs w:val="30"/>
              </w:rPr>
            </w:pPr>
          </w:p>
        </w:tc>
        <w:tc>
          <w:tcPr>
            <w:tcW w:w="1702" w:type="dxa"/>
          </w:tcPr>
          <w:p w14:paraId="5BC62121">
            <w:pPr>
              <w:spacing w:line="580" w:lineRule="exact"/>
              <w:jc w:val="center"/>
              <w:rPr>
                <w:rFonts w:hint="eastAsia" w:ascii="仿宋" w:hAnsi="仿宋" w:eastAsia="仿宋"/>
                <w:sz w:val="30"/>
                <w:szCs w:val="30"/>
              </w:rPr>
            </w:pPr>
          </w:p>
        </w:tc>
        <w:tc>
          <w:tcPr>
            <w:tcW w:w="1799" w:type="dxa"/>
          </w:tcPr>
          <w:p w14:paraId="5AF1CFB8">
            <w:pPr>
              <w:spacing w:line="580" w:lineRule="exact"/>
              <w:jc w:val="center"/>
              <w:rPr>
                <w:rFonts w:hint="eastAsia" w:ascii="仿宋" w:hAnsi="仿宋" w:eastAsia="仿宋"/>
                <w:sz w:val="30"/>
                <w:szCs w:val="30"/>
              </w:rPr>
            </w:pPr>
          </w:p>
        </w:tc>
        <w:tc>
          <w:tcPr>
            <w:tcW w:w="2169" w:type="dxa"/>
          </w:tcPr>
          <w:p w14:paraId="09BAB2CB">
            <w:pPr>
              <w:spacing w:line="580" w:lineRule="exact"/>
              <w:jc w:val="center"/>
              <w:rPr>
                <w:rFonts w:hint="eastAsia" w:ascii="仿宋" w:hAnsi="仿宋" w:eastAsia="仿宋"/>
                <w:sz w:val="30"/>
                <w:szCs w:val="30"/>
              </w:rPr>
            </w:pPr>
          </w:p>
        </w:tc>
      </w:tr>
      <w:tr w14:paraId="34896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580" w:type="dxa"/>
            <w:gridSpan w:val="2"/>
            <w:vAlign w:val="center"/>
          </w:tcPr>
          <w:p w14:paraId="21416460">
            <w:pPr>
              <w:spacing w:line="580" w:lineRule="exact"/>
              <w:jc w:val="center"/>
              <w:rPr>
                <w:rFonts w:hint="eastAsia" w:ascii="仿宋" w:hAnsi="仿宋" w:eastAsia="仿宋"/>
                <w:sz w:val="30"/>
                <w:szCs w:val="30"/>
              </w:rPr>
            </w:pPr>
            <w:r>
              <w:rPr>
                <w:rFonts w:hint="eastAsia" w:ascii="仿宋" w:hAnsi="仿宋" w:eastAsia="仿宋"/>
                <w:sz w:val="30"/>
                <w:szCs w:val="30"/>
              </w:rPr>
              <w:t>揭榜方与项目</w:t>
            </w:r>
          </w:p>
          <w:p w14:paraId="358C0066">
            <w:pPr>
              <w:spacing w:line="580" w:lineRule="exact"/>
              <w:jc w:val="center"/>
              <w:rPr>
                <w:rFonts w:hint="eastAsia" w:ascii="仿宋" w:hAnsi="仿宋" w:eastAsia="仿宋"/>
                <w:sz w:val="30"/>
                <w:szCs w:val="30"/>
              </w:rPr>
            </w:pPr>
            <w:r>
              <w:rPr>
                <w:rFonts w:hint="eastAsia" w:ascii="仿宋" w:hAnsi="仿宋" w:eastAsia="仿宋"/>
                <w:sz w:val="30"/>
                <w:szCs w:val="30"/>
              </w:rPr>
              <w:t>相关的科研优势</w:t>
            </w:r>
          </w:p>
        </w:tc>
        <w:tc>
          <w:tcPr>
            <w:tcW w:w="7230" w:type="dxa"/>
            <w:gridSpan w:val="4"/>
          </w:tcPr>
          <w:p w14:paraId="67DA5BC3">
            <w:pPr>
              <w:spacing w:line="400" w:lineRule="exact"/>
              <w:jc w:val="left"/>
              <w:rPr>
                <w:rFonts w:hint="eastAsia" w:ascii="仿宋" w:hAnsi="仿宋" w:eastAsia="仿宋"/>
                <w:sz w:val="30"/>
                <w:szCs w:val="30"/>
              </w:rPr>
            </w:pPr>
          </w:p>
        </w:tc>
      </w:tr>
      <w:tr w14:paraId="3EAE2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550F15E7">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揭榜挂帅者承诺</w:t>
            </w:r>
          </w:p>
        </w:tc>
        <w:tc>
          <w:tcPr>
            <w:tcW w:w="7230" w:type="dxa"/>
            <w:gridSpan w:val="4"/>
          </w:tcPr>
          <w:p w14:paraId="5970BB75">
            <w:pPr>
              <w:spacing w:before="100" w:beforeAutospacing="1" w:after="100" w:afterAutospacing="1" w:line="580" w:lineRule="exact"/>
              <w:jc w:val="left"/>
              <w:rPr>
                <w:rFonts w:hint="eastAsia" w:ascii="仿宋" w:hAnsi="仿宋" w:eastAsia="仿宋"/>
                <w:sz w:val="30"/>
                <w:szCs w:val="30"/>
              </w:rPr>
            </w:pPr>
            <w:r>
              <w:rPr>
                <w:rFonts w:hint="eastAsia" w:ascii="仿宋" w:hAnsi="仿宋" w:eastAsia="仿宋"/>
                <w:sz w:val="30"/>
                <w:szCs w:val="30"/>
              </w:rPr>
              <w:t>本人承诺，以上所填内容属实。若有不实，愿意接受所带来的不良影响。</w:t>
            </w:r>
          </w:p>
          <w:p w14:paraId="0FEA3855">
            <w:pPr>
              <w:spacing w:line="580" w:lineRule="exact"/>
              <w:jc w:val="left"/>
              <w:rPr>
                <w:rFonts w:hint="eastAsia" w:ascii="仿宋" w:hAnsi="仿宋" w:eastAsia="仿宋"/>
                <w:sz w:val="30"/>
                <w:szCs w:val="30"/>
              </w:rPr>
            </w:pPr>
            <w:r>
              <w:rPr>
                <w:rFonts w:ascii="仿宋" w:hAnsi="仿宋" w:eastAsia="仿宋"/>
                <w:sz w:val="30"/>
                <w:szCs w:val="30"/>
              </w:rPr>
              <w:t xml:space="preserve">    揭榜挂帅者：                年  月  日</w:t>
            </w:r>
          </w:p>
        </w:tc>
      </w:tr>
      <w:tr w14:paraId="20FC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2580" w:type="dxa"/>
            <w:gridSpan w:val="2"/>
            <w:vAlign w:val="center"/>
          </w:tcPr>
          <w:p w14:paraId="2BC4EEFC">
            <w:pPr>
              <w:spacing w:before="100" w:beforeAutospacing="1" w:after="100" w:afterAutospacing="1" w:line="580" w:lineRule="exact"/>
              <w:jc w:val="center"/>
              <w:rPr>
                <w:rFonts w:hint="eastAsia" w:ascii="仿宋" w:hAnsi="仿宋" w:eastAsia="仿宋"/>
                <w:sz w:val="30"/>
                <w:szCs w:val="30"/>
              </w:rPr>
            </w:pPr>
            <w:r>
              <w:rPr>
                <w:rFonts w:hint="eastAsia" w:ascii="仿宋" w:hAnsi="仿宋" w:eastAsia="仿宋"/>
                <w:sz w:val="30"/>
                <w:szCs w:val="30"/>
              </w:rPr>
              <w:t>揭榜方单位意见</w:t>
            </w:r>
          </w:p>
        </w:tc>
        <w:tc>
          <w:tcPr>
            <w:tcW w:w="7230" w:type="dxa"/>
            <w:gridSpan w:val="4"/>
          </w:tcPr>
          <w:p w14:paraId="5C2AFDF0">
            <w:pPr>
              <w:spacing w:before="100" w:beforeAutospacing="1" w:after="100" w:afterAutospacing="1" w:line="580" w:lineRule="exact"/>
              <w:ind w:firstLine="600" w:firstLineChars="200"/>
              <w:jc w:val="left"/>
              <w:rPr>
                <w:rFonts w:hint="eastAsia" w:ascii="仿宋" w:hAnsi="仿宋" w:eastAsia="仿宋"/>
                <w:sz w:val="30"/>
                <w:szCs w:val="30"/>
              </w:rPr>
            </w:pPr>
            <w:r>
              <w:rPr>
                <w:rFonts w:hint="eastAsia" w:ascii="仿宋" w:hAnsi="仿宋" w:eastAsia="仿宋"/>
                <w:sz w:val="30"/>
                <w:szCs w:val="30"/>
              </w:rPr>
              <w:t>情况属实，同意申请。</w:t>
            </w:r>
          </w:p>
          <w:p w14:paraId="7D6D7AA8">
            <w:pPr>
              <w:spacing w:line="580" w:lineRule="exact"/>
              <w:jc w:val="left"/>
              <w:rPr>
                <w:rFonts w:hint="eastAsia" w:ascii="仿宋" w:hAnsi="仿宋" w:eastAsia="仿宋"/>
                <w:sz w:val="30"/>
                <w:szCs w:val="30"/>
              </w:rPr>
            </w:pPr>
            <w:r>
              <w:rPr>
                <w:rFonts w:ascii="仿宋" w:hAnsi="仿宋" w:eastAsia="仿宋"/>
                <w:sz w:val="30"/>
                <w:szCs w:val="30"/>
              </w:rPr>
              <w:t xml:space="preserve">                                 （盖章）</w:t>
            </w:r>
          </w:p>
          <w:p w14:paraId="52BAD069">
            <w:pPr>
              <w:spacing w:line="580" w:lineRule="exact"/>
              <w:jc w:val="left"/>
              <w:rPr>
                <w:rFonts w:hint="eastAsia" w:ascii="仿宋" w:hAnsi="仿宋" w:eastAsia="仿宋"/>
                <w:sz w:val="30"/>
                <w:szCs w:val="30"/>
              </w:rPr>
            </w:pPr>
            <w:r>
              <w:rPr>
                <w:rFonts w:ascii="仿宋" w:hAnsi="仿宋" w:eastAsia="仿宋"/>
                <w:sz w:val="30"/>
                <w:szCs w:val="30"/>
              </w:rPr>
              <w:t xml:space="preserve">                                年  月  日</w:t>
            </w:r>
          </w:p>
        </w:tc>
      </w:tr>
    </w:tbl>
    <w:p w14:paraId="451327B5">
      <w:pPr>
        <w:spacing w:line="360" w:lineRule="auto"/>
        <w:ind w:firstLine="640" w:firstLineChars="200"/>
        <w:rPr>
          <w:rFonts w:hint="eastAsia" w:ascii="仿宋" w:hAnsi="仿宋" w:eastAsia="仿宋" w:cs="仿宋"/>
          <w:kern w:val="0"/>
          <w:sz w:val="32"/>
          <w:szCs w:val="32"/>
        </w:rPr>
      </w:pPr>
    </w:p>
    <w:p w14:paraId="470D6085">
      <w:r>
        <w:rPr>
          <w:rFonts w:hint="eastAsia"/>
        </w:rPr>
        <w:br w:type="page"/>
      </w:r>
    </w:p>
    <w:p w14:paraId="71CBDE0F"/>
    <w:p w14:paraId="60A0922B">
      <w:pPr>
        <w:spacing w:line="420" w:lineRule="exact"/>
        <w:jc w:val="left"/>
        <w:rPr>
          <w:rFonts w:hint="eastAsia" w:ascii="仿宋" w:hAnsi="仿宋" w:eastAsia="仿宋" w:cs="仿宋"/>
          <w:b/>
          <w:bCs/>
          <w:sz w:val="36"/>
          <w:szCs w:val="36"/>
        </w:rPr>
      </w:pPr>
      <w:r>
        <w:rPr>
          <w:rFonts w:hint="eastAsia" w:ascii="仿宋" w:hAnsi="仿宋" w:eastAsia="仿宋" w:cs="仿宋"/>
          <w:kern w:val="0"/>
          <w:sz w:val="32"/>
          <w:szCs w:val="32"/>
        </w:rPr>
        <w:t>附件2</w:t>
      </w:r>
    </w:p>
    <w:p w14:paraId="141CDCDE">
      <w:pPr>
        <w:spacing w:line="420" w:lineRule="exact"/>
        <w:jc w:val="center"/>
        <w:rPr>
          <w:rFonts w:hint="eastAsia" w:ascii="仿宋" w:hAnsi="仿宋" w:eastAsia="仿宋" w:cs="仿宋"/>
          <w:b/>
          <w:bCs/>
          <w:sz w:val="36"/>
          <w:szCs w:val="36"/>
        </w:rPr>
      </w:pPr>
      <w:r>
        <w:rPr>
          <w:rFonts w:hint="eastAsia" w:ascii="仿宋" w:hAnsi="仿宋" w:eastAsia="仿宋" w:cs="仿宋"/>
          <w:b/>
          <w:bCs/>
          <w:sz w:val="36"/>
          <w:szCs w:val="36"/>
        </w:rPr>
        <w:t>法定代表人身份证明</w:t>
      </w:r>
    </w:p>
    <w:p w14:paraId="20E2B872">
      <w:pPr>
        <w:spacing w:line="660" w:lineRule="exact"/>
        <w:jc w:val="center"/>
        <w:rPr>
          <w:rFonts w:hint="eastAsia" w:ascii="仿宋" w:hAnsi="仿宋" w:eastAsia="仿宋" w:cs="仿宋"/>
          <w:sz w:val="28"/>
          <w:szCs w:val="28"/>
        </w:rPr>
      </w:pPr>
    </w:p>
    <w:p w14:paraId="76C43B75">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兹证明</w:t>
      </w:r>
      <w:r>
        <w:rPr>
          <w:rFonts w:hint="eastAsia" w:ascii="仿宋" w:hAnsi="仿宋" w:eastAsia="仿宋" w:cs="仿宋"/>
          <w:sz w:val="32"/>
          <w:szCs w:val="32"/>
          <w:u w:val="single"/>
        </w:rPr>
        <w:t xml:space="preserve">         </w:t>
      </w:r>
      <w:r>
        <w:rPr>
          <w:rFonts w:hint="eastAsia" w:ascii="仿宋" w:hAnsi="仿宋" w:eastAsia="仿宋" w:cs="仿宋"/>
          <w:sz w:val="32"/>
          <w:szCs w:val="32"/>
        </w:rPr>
        <w:t>同志在我单位担任执行</w:t>
      </w:r>
      <w:r>
        <w:rPr>
          <w:rFonts w:hint="eastAsia" w:ascii="仿宋" w:hAnsi="仿宋" w:eastAsia="仿宋" w:cs="仿宋"/>
          <w:sz w:val="32"/>
          <w:szCs w:val="32"/>
          <w:u w:val="single"/>
        </w:rPr>
        <w:t xml:space="preserve">     </w:t>
      </w:r>
      <w:r>
        <w:rPr>
          <w:rFonts w:hint="eastAsia" w:ascii="仿宋" w:hAnsi="仿宋" w:eastAsia="仿宋" w:cs="仿宋"/>
          <w:sz w:val="32"/>
          <w:szCs w:val="32"/>
        </w:rPr>
        <w:t>职务，系我单位的法定代表人。</w:t>
      </w:r>
    </w:p>
    <w:p w14:paraId="5BF55484">
      <w:pPr>
        <w:spacing w:line="6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特此证明！</w:t>
      </w:r>
    </w:p>
    <w:p w14:paraId="1AEACF50">
      <w:pPr>
        <w:spacing w:line="660" w:lineRule="exact"/>
        <w:ind w:firstLine="640" w:firstLineChars="200"/>
        <w:rPr>
          <w:rFonts w:hint="eastAsia" w:ascii="仿宋" w:hAnsi="仿宋" w:eastAsia="仿宋" w:cs="仿宋"/>
          <w:sz w:val="32"/>
          <w:szCs w:val="32"/>
        </w:rPr>
      </w:pPr>
    </w:p>
    <w:p w14:paraId="11B00CDB">
      <w:pPr>
        <w:spacing w:line="660" w:lineRule="exact"/>
        <w:ind w:firstLine="640" w:firstLineChars="200"/>
        <w:rPr>
          <w:rFonts w:hint="eastAsia" w:ascii="仿宋" w:hAnsi="仿宋" w:eastAsia="仿宋" w:cs="仿宋"/>
          <w:sz w:val="32"/>
          <w:szCs w:val="32"/>
        </w:rPr>
      </w:pPr>
    </w:p>
    <w:p w14:paraId="2893088E">
      <w:pPr>
        <w:spacing w:line="660" w:lineRule="exact"/>
        <w:ind w:right="640"/>
        <w:jc w:val="center"/>
        <w:rPr>
          <w:rFonts w:hint="eastAsia" w:ascii="仿宋" w:hAnsi="仿宋" w:eastAsia="仿宋" w:cs="仿宋"/>
          <w:sz w:val="32"/>
          <w:szCs w:val="32"/>
        </w:rPr>
      </w:pPr>
      <w:r>
        <w:rPr>
          <w:rFonts w:hint="eastAsia" w:ascii="仿宋" w:hAnsi="仿宋" w:eastAsia="仿宋" w:cs="仿宋"/>
          <w:sz w:val="32"/>
          <w:szCs w:val="32"/>
        </w:rPr>
        <w:t xml:space="preserve">                                  （盖章）</w:t>
      </w:r>
    </w:p>
    <w:p w14:paraId="5F6DF322">
      <w:pPr>
        <w:spacing w:line="660" w:lineRule="exact"/>
        <w:jc w:val="right"/>
        <w:rPr>
          <w:rFonts w:hint="eastAsia" w:ascii="仿宋" w:hAnsi="仿宋" w:eastAsia="仿宋" w:cs="仿宋"/>
          <w:sz w:val="32"/>
          <w:szCs w:val="32"/>
        </w:rPr>
      </w:pPr>
      <w:r>
        <w:rPr>
          <w:rFonts w:hint="eastAsia" w:ascii="仿宋" w:hAnsi="仿宋" w:eastAsia="仿宋" w:cs="仿宋"/>
          <w:sz w:val="32"/>
          <w:szCs w:val="32"/>
        </w:rPr>
        <w:t>年   月   日</w:t>
      </w:r>
    </w:p>
    <w:p w14:paraId="41C95FA8">
      <w:pPr>
        <w:spacing w:line="360" w:lineRule="auto"/>
        <w:ind w:firstLine="640" w:firstLineChars="200"/>
        <w:rPr>
          <w:rFonts w:hint="eastAsia" w:ascii="仿宋" w:hAnsi="仿宋" w:eastAsia="仿宋" w:cs="仿宋"/>
          <w:kern w:val="0"/>
          <w:sz w:val="32"/>
          <w:szCs w:val="32"/>
        </w:rPr>
      </w:pPr>
    </w:p>
    <w:p w14:paraId="2F0E1479">
      <w:pPr>
        <w:spacing w:line="360" w:lineRule="auto"/>
        <w:jc w:val="center"/>
        <w:rPr>
          <w:rFonts w:hint="eastAsia" w:ascii="仿宋" w:hAnsi="仿宋" w:eastAsia="仿宋"/>
          <w:b/>
          <w:bCs/>
          <w:color w:val="000000"/>
          <w:sz w:val="48"/>
          <w:szCs w:val="48"/>
        </w:rPr>
      </w:pPr>
      <w:r>
        <w:rPr>
          <w:rFonts w:ascii="仿宋" w:hAnsi="仿宋" w:eastAsia="仿宋" w:cs="仿宋"/>
          <w:kern w:val="0"/>
          <w:sz w:val="32"/>
          <w:szCs w:val="32"/>
        </w:rPr>
        <w:br w:type="page"/>
      </w:r>
      <w:r>
        <w:rPr>
          <w:rFonts w:hint="eastAsia" w:ascii="仿宋" w:hAnsi="仿宋" w:eastAsia="仿宋"/>
          <w:b/>
          <w:bCs/>
          <w:color w:val="000000"/>
          <w:sz w:val="48"/>
          <w:szCs w:val="48"/>
        </w:rPr>
        <w:t>授权委托书</w:t>
      </w:r>
    </w:p>
    <w:p w14:paraId="096EB3CB">
      <w:pPr>
        <w:spacing w:line="360" w:lineRule="auto"/>
        <w:jc w:val="center"/>
        <w:rPr>
          <w:rFonts w:hint="eastAsia" w:ascii="仿宋" w:hAnsi="仿宋" w:eastAsia="仿宋"/>
          <w:b/>
          <w:bCs/>
          <w:color w:val="000000"/>
        </w:rPr>
      </w:pPr>
    </w:p>
    <w:p w14:paraId="49B9FEEE">
      <w:pPr>
        <w:spacing w:line="360" w:lineRule="auto"/>
        <w:jc w:val="center"/>
        <w:rPr>
          <w:rFonts w:hint="eastAsia" w:ascii="仿宋" w:hAnsi="仿宋" w:eastAsia="仿宋"/>
          <w:b/>
          <w:bCs/>
          <w:color w:val="000000"/>
        </w:rPr>
      </w:pPr>
    </w:p>
    <w:p w14:paraId="2FA0DEF2">
      <w:pPr>
        <w:spacing w:line="360" w:lineRule="auto"/>
        <w:jc w:val="center"/>
        <w:rPr>
          <w:rFonts w:hint="eastAsia" w:ascii="仿宋" w:hAnsi="仿宋" w:eastAsia="仿宋"/>
          <w:b/>
          <w:bCs/>
          <w:color w:val="000000"/>
          <w:sz w:val="32"/>
          <w:szCs w:val="32"/>
        </w:rPr>
      </w:pPr>
    </w:p>
    <w:p w14:paraId="551A818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 xml:space="preserve">    本授权委托书声明：我         系                 的法定代表人，现授权委托       作为本单位的受托人，全权负责办理                 </w:t>
      </w:r>
    </w:p>
    <w:p w14:paraId="32439893">
      <w:pPr>
        <w:spacing w:line="360" w:lineRule="auto"/>
        <w:ind w:left="178" w:leftChars="85" w:right="178" w:rightChars="85" w:firstLine="800" w:firstLineChars="250"/>
        <w:rPr>
          <w:rFonts w:hint="eastAsia" w:ascii="仿宋" w:hAnsi="仿宋" w:eastAsia="仿宋"/>
          <w:color w:val="000000"/>
          <w:sz w:val="32"/>
          <w:szCs w:val="32"/>
        </w:rPr>
      </w:pPr>
      <w:r>
        <w:rPr>
          <w:rFonts w:hint="eastAsia" w:ascii="仿宋" w:hAnsi="仿宋" w:eastAsia="仿宋"/>
          <w:color w:val="000000"/>
          <w:sz w:val="32"/>
          <w:szCs w:val="32"/>
        </w:rPr>
        <w:t xml:space="preserve">   项目的揭榜事宜，         作为代理人无转委托权，特此委托。</w:t>
      </w:r>
    </w:p>
    <w:p w14:paraId="5A974DB2">
      <w:pPr>
        <w:spacing w:line="360" w:lineRule="auto"/>
        <w:ind w:firstLine="320" w:firstLineChars="100"/>
        <w:rPr>
          <w:rFonts w:hint="eastAsia" w:ascii="仿宋" w:hAnsi="仿宋" w:eastAsia="仿宋"/>
          <w:color w:val="000000"/>
          <w:sz w:val="32"/>
          <w:szCs w:val="32"/>
        </w:rPr>
      </w:pPr>
    </w:p>
    <w:p w14:paraId="52057063">
      <w:pPr>
        <w:spacing w:line="360" w:lineRule="auto"/>
        <w:rPr>
          <w:rFonts w:hint="eastAsia" w:ascii="仿宋" w:hAnsi="仿宋" w:eastAsia="仿宋"/>
          <w:color w:val="000000"/>
          <w:sz w:val="32"/>
          <w:szCs w:val="32"/>
        </w:rPr>
      </w:pPr>
    </w:p>
    <w:p w14:paraId="5E54F6EE">
      <w:pPr>
        <w:spacing w:line="360" w:lineRule="auto"/>
        <w:rPr>
          <w:rFonts w:hint="eastAsia" w:ascii="仿宋" w:hAnsi="仿宋" w:eastAsia="仿宋"/>
          <w:color w:val="000000"/>
          <w:sz w:val="32"/>
          <w:szCs w:val="32"/>
        </w:rPr>
      </w:pPr>
    </w:p>
    <w:p w14:paraId="4775D22E">
      <w:pPr>
        <w:spacing w:line="360" w:lineRule="auto"/>
        <w:ind w:firstLine="2560" w:firstLineChars="800"/>
        <w:rPr>
          <w:rFonts w:hint="eastAsia" w:ascii="仿宋" w:hAnsi="仿宋" w:eastAsia="仿宋"/>
          <w:color w:val="000000"/>
          <w:sz w:val="32"/>
          <w:szCs w:val="32"/>
        </w:rPr>
      </w:pPr>
    </w:p>
    <w:p w14:paraId="76556197">
      <w:pPr>
        <w:spacing w:line="360" w:lineRule="auto"/>
        <w:ind w:firstLine="2560" w:firstLineChars="800"/>
        <w:rPr>
          <w:rFonts w:hint="eastAsia" w:ascii="仿宋" w:hAnsi="仿宋" w:eastAsia="仿宋"/>
          <w:color w:val="000000"/>
          <w:sz w:val="32"/>
          <w:szCs w:val="32"/>
        </w:rPr>
      </w:pPr>
    </w:p>
    <w:p w14:paraId="1F01DB32">
      <w:pPr>
        <w:spacing w:line="360" w:lineRule="auto"/>
        <w:ind w:firstLine="2560" w:firstLineChars="800"/>
        <w:rPr>
          <w:rFonts w:hint="eastAsia" w:ascii="仿宋" w:hAnsi="仿宋" w:eastAsia="仿宋"/>
          <w:color w:val="000000"/>
          <w:sz w:val="32"/>
          <w:szCs w:val="32"/>
        </w:rPr>
      </w:pPr>
    </w:p>
    <w:p w14:paraId="38EF4F62">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委  托  人：</w:t>
      </w:r>
      <w:r>
        <w:rPr>
          <w:rFonts w:hint="eastAsia" w:ascii="仿宋" w:hAnsi="仿宋" w:eastAsia="仿宋"/>
          <w:color w:val="000000"/>
          <w:sz w:val="32"/>
          <w:szCs w:val="32"/>
          <w:u w:val="single"/>
        </w:rPr>
        <w:t xml:space="preserve">        （单位印章）        </w:t>
      </w:r>
      <w:r>
        <w:rPr>
          <w:rFonts w:hint="eastAsia" w:ascii="仿宋" w:hAnsi="仿宋" w:eastAsia="仿宋"/>
          <w:color w:val="000000"/>
          <w:sz w:val="32"/>
          <w:szCs w:val="32"/>
        </w:rPr>
        <w:t xml:space="preserve">  </w:t>
      </w:r>
    </w:p>
    <w:p w14:paraId="1B899190">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法定代表人：</w:t>
      </w:r>
      <w:r>
        <w:rPr>
          <w:rFonts w:hint="eastAsia" w:ascii="仿宋" w:hAnsi="仿宋" w:eastAsia="仿宋"/>
          <w:color w:val="000000"/>
          <w:sz w:val="32"/>
          <w:szCs w:val="32"/>
          <w:u w:val="single"/>
        </w:rPr>
        <w:t xml:space="preserve">  （签字或手签章）                                          </w:t>
      </w:r>
      <w:r>
        <w:rPr>
          <w:rFonts w:hint="eastAsia" w:ascii="仿宋" w:hAnsi="仿宋" w:eastAsia="仿宋"/>
          <w:color w:val="000000"/>
          <w:sz w:val="32"/>
          <w:szCs w:val="32"/>
        </w:rPr>
        <w:t xml:space="preserve">                  </w:t>
      </w:r>
    </w:p>
    <w:p w14:paraId="3ED064A5">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受  托  人：</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600B70C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身份证号码：</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 xml:space="preserve">             </w:t>
      </w:r>
    </w:p>
    <w:p w14:paraId="3FA433ED">
      <w:pPr>
        <w:spacing w:line="360" w:lineRule="auto"/>
        <w:ind w:left="179" w:leftChars="85" w:right="178" w:rightChars="85" w:hanging="1"/>
        <w:rPr>
          <w:rFonts w:hint="eastAsia" w:ascii="仿宋" w:hAnsi="仿宋" w:eastAsia="仿宋"/>
          <w:color w:val="000000"/>
          <w:sz w:val="32"/>
          <w:szCs w:val="32"/>
        </w:rPr>
      </w:pPr>
      <w:r>
        <w:rPr>
          <w:rFonts w:hint="eastAsia" w:ascii="仿宋" w:hAnsi="仿宋" w:eastAsia="仿宋"/>
          <w:color w:val="000000"/>
          <w:sz w:val="32"/>
          <w:szCs w:val="32"/>
        </w:rPr>
        <w:t>日      期：</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年</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月</w:t>
      </w:r>
      <w:r>
        <w:rPr>
          <w:rFonts w:hint="eastAsia" w:ascii="仿宋" w:hAnsi="仿宋" w:eastAsia="仿宋"/>
          <w:color w:val="000000"/>
          <w:sz w:val="32"/>
          <w:szCs w:val="32"/>
          <w:u w:val="single"/>
        </w:rPr>
        <w:t xml:space="preserve">    </w:t>
      </w:r>
      <w:r>
        <w:rPr>
          <w:rFonts w:hint="eastAsia" w:ascii="仿宋" w:hAnsi="仿宋" w:eastAsia="仿宋"/>
          <w:color w:val="000000"/>
          <w:sz w:val="32"/>
          <w:szCs w:val="32"/>
        </w:rPr>
        <w:t>日</w:t>
      </w:r>
    </w:p>
    <w:p w14:paraId="4F97A29C"/>
    <w:p w14:paraId="6F8C0374">
      <w:pPr>
        <w:spacing w:line="360" w:lineRule="auto"/>
        <w:ind w:firstLine="640" w:firstLineChars="200"/>
        <w:rPr>
          <w:rFonts w:hint="eastAsia" w:ascii="仿宋" w:hAnsi="仿宋" w:eastAsia="仿宋" w:cs="仿宋"/>
          <w:kern w:val="0"/>
          <w:sz w:val="32"/>
          <w:szCs w:val="32"/>
        </w:rPr>
      </w:pPr>
    </w:p>
    <w:p w14:paraId="76A736DA">
      <w:pPr>
        <w:pStyle w:val="2"/>
        <w:numPr>
          <w:ilvl w:val="0"/>
          <w:numId w:val="0"/>
        </w:numPr>
        <w:ind w:left="425"/>
      </w:pPr>
    </w:p>
    <w:p w14:paraId="508910AC">
      <w:pPr>
        <w:spacing w:line="360" w:lineRule="auto"/>
        <w:ind w:firstLine="640" w:firstLineChars="200"/>
        <w:rPr>
          <w:rFonts w:hint="eastAsia" w:ascii="仿宋" w:hAnsi="仿宋" w:eastAsia="仿宋" w:cs="仿宋"/>
          <w:kern w:val="0"/>
          <w:sz w:val="32"/>
          <w:szCs w:val="32"/>
        </w:rPr>
      </w:pPr>
    </w:p>
    <w:sectPr>
      <w:headerReference r:id="rId7" w:type="default"/>
      <w:pgSz w:w="11906" w:h="16838"/>
      <w:pgMar w:top="1134" w:right="1134" w:bottom="1134" w:left="1134" w:header="737" w:footer="624" w:gutter="0"/>
      <w:cols w:space="720" w:num="1"/>
      <w:docGrid w:linePitch="306" w:charSpace="-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7F" w:usb3="00000000" w:csb0="003F01FF" w:csb1="00000000"/>
  </w:font>
  <w:font w:name="Arial Narrow">
    <w:panose1 w:val="020B0606020202030204"/>
    <w:charset w:val="00"/>
    <w:family w:val="swiss"/>
    <w:pitch w:val="default"/>
    <w:sig w:usb0="00000287" w:usb1="00000800" w:usb2="00000000" w:usb3="00000000" w:csb0="2000009F" w:csb1="DFD70000"/>
  </w:font>
  <w:font w:name="汉鼎简书宋">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Ari">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Light">
    <w:panose1 w:val="020B0502040204020203"/>
    <w:charset w:val="86"/>
    <w:family w:val="swiss"/>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F6166">
    <w:pPr>
      <w:pStyle w:val="26"/>
      <w:jc w:val="center"/>
    </w:pPr>
    <w:r>
      <w:fldChar w:fldCharType="begin"/>
    </w:r>
    <w:r>
      <w:instrText xml:space="preserve"> PAGE   \* MERGEFORMAT </w:instrText>
    </w:r>
    <w:r>
      <w:fldChar w:fldCharType="separate"/>
    </w:r>
    <w:r>
      <w:rPr>
        <w:lang w:val="zh-CN"/>
      </w:rPr>
      <w:t>8</w:t>
    </w:r>
    <w:r>
      <w:rPr>
        <w:lang w:val="zh-CN"/>
      </w:rPr>
      <w:fldChar w:fldCharType="end"/>
    </w:r>
  </w:p>
  <w:p w14:paraId="2641E0FF">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0E318">
    <w:pPr>
      <w:pStyle w:val="2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37F69">
    <w:pPr>
      <w:pStyle w:val="27"/>
      <w:jc w:val="left"/>
    </w:pPr>
    <w:r>
      <w:rPr>
        <w:rFonts w:hint="eastAsia"/>
      </w:rPr>
      <w:t>永煤公司建立债券业务律师库项目招标文件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E5940">
    <w:pPr>
      <w:jc w:val="left"/>
      <w:rPr>
        <w:rFonts w:ascii="宋体"/>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59D5B">
    <w:pPr>
      <w:pStyle w:val="27"/>
      <w:pBdr>
        <w:bottom w:val="single" w:color="auto" w:sz="4"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chineseCountingThousand"/>
      <w:pStyle w:val="2"/>
      <w:lvlText w:val="%1."/>
      <w:legacy w:legacy="1" w:legacySpace="113" w:legacyIndent="425"/>
      <w:lvlJc w:val="left"/>
      <w:pPr>
        <w:ind w:left="425" w:hanging="425"/>
      </w:pPr>
      <w:rPr>
        <w:rFonts w:cs="Times New Roman"/>
      </w:rPr>
    </w:lvl>
    <w:lvl w:ilvl="1" w:tentative="0">
      <w:start w:val="1"/>
      <w:numFmt w:val="decimal"/>
      <w:lvlText w:val="%2."/>
      <w:legacy w:legacy="1" w:legacySpace="0" w:legacyIndent="425"/>
      <w:lvlJc w:val="left"/>
      <w:pPr>
        <w:ind w:left="851" w:hanging="425"/>
      </w:pPr>
      <w:rPr>
        <w:rFonts w:cs="Times New Roman"/>
      </w:rPr>
    </w:lvl>
    <w:lvl w:ilvl="2" w:tentative="0">
      <w:start w:val="1"/>
      <w:numFmt w:val="none"/>
      <w:suff w:val="nothing"/>
      <w:lvlText w:val=""/>
      <w:lvlJc w:val="left"/>
      <w:pPr>
        <w:ind w:left="851" w:hanging="425"/>
      </w:pPr>
      <w:rPr>
        <w:rFonts w:cs="Times New Roman"/>
      </w:rPr>
    </w:lvl>
    <w:lvl w:ilvl="3" w:tentative="0">
      <w:start w:val="1"/>
      <w:numFmt w:val="lowerLetter"/>
      <w:lvlText w:val="%4)"/>
      <w:legacy w:legacy="1" w:legacySpace="0" w:legacyIndent="425"/>
      <w:lvlJc w:val="left"/>
      <w:pPr>
        <w:ind w:left="1700" w:hanging="425"/>
      </w:pPr>
      <w:rPr>
        <w:rFonts w:cs="Times New Roman"/>
      </w:rPr>
    </w:lvl>
    <w:lvl w:ilvl="4" w:tentative="0">
      <w:start w:val="1"/>
      <w:numFmt w:val="decimal"/>
      <w:lvlText w:val="(%5)"/>
      <w:legacy w:legacy="1" w:legacySpace="0" w:legacyIndent="425"/>
      <w:lvlJc w:val="left"/>
      <w:pPr>
        <w:ind w:left="2125" w:hanging="425"/>
      </w:pPr>
      <w:rPr>
        <w:rFonts w:cs="Times New Roman"/>
      </w:rPr>
    </w:lvl>
    <w:lvl w:ilvl="5" w:tentative="0">
      <w:start w:val="1"/>
      <w:numFmt w:val="lowerLetter"/>
      <w:lvlText w:val="(%6)"/>
      <w:legacy w:legacy="1" w:legacySpace="0" w:legacyIndent="425"/>
      <w:lvlJc w:val="left"/>
      <w:pPr>
        <w:ind w:left="2550" w:hanging="425"/>
      </w:pPr>
      <w:rPr>
        <w:rFonts w:cs="Times New Roman"/>
      </w:rPr>
    </w:lvl>
    <w:lvl w:ilvl="6" w:tentative="0">
      <w:start w:val="1"/>
      <w:numFmt w:val="lowerRoman"/>
      <w:lvlText w:val="(%7)"/>
      <w:legacy w:legacy="1" w:legacySpace="0" w:legacyIndent="425"/>
      <w:lvlJc w:val="left"/>
      <w:pPr>
        <w:ind w:left="2975" w:hanging="425"/>
      </w:pPr>
      <w:rPr>
        <w:rFonts w:cs="Times New Roman"/>
      </w:rPr>
    </w:lvl>
    <w:lvl w:ilvl="7" w:tentative="0">
      <w:start w:val="1"/>
      <w:numFmt w:val="lowerLetter"/>
      <w:lvlText w:val="(%8)"/>
      <w:legacy w:legacy="1" w:legacySpace="0" w:legacyIndent="425"/>
      <w:lvlJc w:val="left"/>
      <w:pPr>
        <w:ind w:left="3400" w:hanging="425"/>
      </w:pPr>
      <w:rPr>
        <w:rFonts w:cs="Times New Roman"/>
      </w:rPr>
    </w:lvl>
    <w:lvl w:ilvl="8" w:tentative="0">
      <w:start w:val="1"/>
      <w:numFmt w:val="lowerRoman"/>
      <w:lvlText w:val="(%9)"/>
      <w:legacy w:legacy="1" w:legacySpace="0" w:legacyIndent="425"/>
      <w:lvlJc w:val="left"/>
      <w:pPr>
        <w:ind w:left="3825" w:hanging="425"/>
      </w:pPr>
      <w:rPr>
        <w:rFonts w:cs="Times New Roman"/>
      </w:rPr>
    </w:lvl>
  </w:abstractNum>
  <w:abstractNum w:abstractNumId="1">
    <w:nsid w:val="6901134B"/>
    <w:multiLevelType w:val="multilevel"/>
    <w:tmpl w:val="6901134B"/>
    <w:lvl w:ilvl="0" w:tentative="0">
      <w:start w:val="1"/>
      <w:numFmt w:val="decimal"/>
      <w:pStyle w:val="5"/>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172A27"/>
    <w:rsid w:val="00015B9A"/>
    <w:rsid w:val="00017732"/>
    <w:rsid w:val="00020435"/>
    <w:rsid w:val="0002085B"/>
    <w:rsid w:val="00020BA9"/>
    <w:rsid w:val="00024D8A"/>
    <w:rsid w:val="00026A70"/>
    <w:rsid w:val="00030BD1"/>
    <w:rsid w:val="00032BF6"/>
    <w:rsid w:val="00035275"/>
    <w:rsid w:val="00036F54"/>
    <w:rsid w:val="00042959"/>
    <w:rsid w:val="00056340"/>
    <w:rsid w:val="00063440"/>
    <w:rsid w:val="00063510"/>
    <w:rsid w:val="00070A2A"/>
    <w:rsid w:val="00073B0F"/>
    <w:rsid w:val="0008032F"/>
    <w:rsid w:val="00085F59"/>
    <w:rsid w:val="00087CE2"/>
    <w:rsid w:val="00091DE6"/>
    <w:rsid w:val="00094083"/>
    <w:rsid w:val="00094547"/>
    <w:rsid w:val="000A0913"/>
    <w:rsid w:val="000A3757"/>
    <w:rsid w:val="000A5331"/>
    <w:rsid w:val="000A75EE"/>
    <w:rsid w:val="000A78BA"/>
    <w:rsid w:val="000B2D97"/>
    <w:rsid w:val="000B65E9"/>
    <w:rsid w:val="000C16D0"/>
    <w:rsid w:val="000C27F2"/>
    <w:rsid w:val="000C668A"/>
    <w:rsid w:val="000D3244"/>
    <w:rsid w:val="000D5927"/>
    <w:rsid w:val="000D71C5"/>
    <w:rsid w:val="000F0745"/>
    <w:rsid w:val="000F12C3"/>
    <w:rsid w:val="000F3D13"/>
    <w:rsid w:val="00103537"/>
    <w:rsid w:val="001077EB"/>
    <w:rsid w:val="00115F01"/>
    <w:rsid w:val="00124E2D"/>
    <w:rsid w:val="00125B04"/>
    <w:rsid w:val="00126E0A"/>
    <w:rsid w:val="00127D7D"/>
    <w:rsid w:val="00136642"/>
    <w:rsid w:val="00146CA3"/>
    <w:rsid w:val="00162D87"/>
    <w:rsid w:val="001702CF"/>
    <w:rsid w:val="001720C8"/>
    <w:rsid w:val="00172A27"/>
    <w:rsid w:val="001855DA"/>
    <w:rsid w:val="00186487"/>
    <w:rsid w:val="0018770B"/>
    <w:rsid w:val="00190B58"/>
    <w:rsid w:val="001910DF"/>
    <w:rsid w:val="00191E12"/>
    <w:rsid w:val="001A18F6"/>
    <w:rsid w:val="001A2195"/>
    <w:rsid w:val="001B0250"/>
    <w:rsid w:val="001B0295"/>
    <w:rsid w:val="001B14D6"/>
    <w:rsid w:val="001B3254"/>
    <w:rsid w:val="001B58C4"/>
    <w:rsid w:val="001C3A64"/>
    <w:rsid w:val="001D2132"/>
    <w:rsid w:val="001D63FE"/>
    <w:rsid w:val="001E0D0B"/>
    <w:rsid w:val="001E3A5A"/>
    <w:rsid w:val="001E5B70"/>
    <w:rsid w:val="001E5F00"/>
    <w:rsid w:val="001E7F14"/>
    <w:rsid w:val="001F0210"/>
    <w:rsid w:val="001F12D1"/>
    <w:rsid w:val="001F1C61"/>
    <w:rsid w:val="001F2AF2"/>
    <w:rsid w:val="001F6A8C"/>
    <w:rsid w:val="001F6C63"/>
    <w:rsid w:val="001F72CC"/>
    <w:rsid w:val="002055F7"/>
    <w:rsid w:val="00206C00"/>
    <w:rsid w:val="00207681"/>
    <w:rsid w:val="00211011"/>
    <w:rsid w:val="00212D62"/>
    <w:rsid w:val="00212E73"/>
    <w:rsid w:val="002147F3"/>
    <w:rsid w:val="002155D2"/>
    <w:rsid w:val="002155FB"/>
    <w:rsid w:val="00215CE4"/>
    <w:rsid w:val="002162DC"/>
    <w:rsid w:val="00216AF7"/>
    <w:rsid w:val="00220165"/>
    <w:rsid w:val="00221716"/>
    <w:rsid w:val="002253D4"/>
    <w:rsid w:val="0022694D"/>
    <w:rsid w:val="00227E7C"/>
    <w:rsid w:val="0023051F"/>
    <w:rsid w:val="00231217"/>
    <w:rsid w:val="0023389F"/>
    <w:rsid w:val="002345F2"/>
    <w:rsid w:val="002453DA"/>
    <w:rsid w:val="0024634A"/>
    <w:rsid w:val="00247F48"/>
    <w:rsid w:val="00252252"/>
    <w:rsid w:val="00256D58"/>
    <w:rsid w:val="00266FC2"/>
    <w:rsid w:val="00272C1C"/>
    <w:rsid w:val="00274C81"/>
    <w:rsid w:val="00276A5B"/>
    <w:rsid w:val="00285315"/>
    <w:rsid w:val="002875F0"/>
    <w:rsid w:val="00293853"/>
    <w:rsid w:val="002A097D"/>
    <w:rsid w:val="002A0B3C"/>
    <w:rsid w:val="002A1E35"/>
    <w:rsid w:val="002A2F3A"/>
    <w:rsid w:val="002A3CA9"/>
    <w:rsid w:val="002A41AB"/>
    <w:rsid w:val="002A4C9B"/>
    <w:rsid w:val="002A4FC9"/>
    <w:rsid w:val="002A56EF"/>
    <w:rsid w:val="002B2B4D"/>
    <w:rsid w:val="002B583F"/>
    <w:rsid w:val="002B5C20"/>
    <w:rsid w:val="002C6FB5"/>
    <w:rsid w:val="002D0341"/>
    <w:rsid w:val="002E2180"/>
    <w:rsid w:val="002E5B05"/>
    <w:rsid w:val="002E6E4D"/>
    <w:rsid w:val="002F26B2"/>
    <w:rsid w:val="002F492A"/>
    <w:rsid w:val="002F7B66"/>
    <w:rsid w:val="00300D1D"/>
    <w:rsid w:val="00301FC3"/>
    <w:rsid w:val="003109DD"/>
    <w:rsid w:val="00311F82"/>
    <w:rsid w:val="0031261D"/>
    <w:rsid w:val="003231CD"/>
    <w:rsid w:val="003265FE"/>
    <w:rsid w:val="003266C7"/>
    <w:rsid w:val="0033007F"/>
    <w:rsid w:val="00330E23"/>
    <w:rsid w:val="00333F89"/>
    <w:rsid w:val="00344858"/>
    <w:rsid w:val="0034580F"/>
    <w:rsid w:val="003501F3"/>
    <w:rsid w:val="00352FE5"/>
    <w:rsid w:val="00352FF4"/>
    <w:rsid w:val="00353893"/>
    <w:rsid w:val="00354C7D"/>
    <w:rsid w:val="00355D9B"/>
    <w:rsid w:val="00357A9A"/>
    <w:rsid w:val="0036179D"/>
    <w:rsid w:val="00361EE8"/>
    <w:rsid w:val="0036346F"/>
    <w:rsid w:val="00363F73"/>
    <w:rsid w:val="003645BC"/>
    <w:rsid w:val="00366BAA"/>
    <w:rsid w:val="00370B14"/>
    <w:rsid w:val="00371C04"/>
    <w:rsid w:val="00373158"/>
    <w:rsid w:val="00376D7D"/>
    <w:rsid w:val="00377237"/>
    <w:rsid w:val="00381AC1"/>
    <w:rsid w:val="00383F1E"/>
    <w:rsid w:val="00385454"/>
    <w:rsid w:val="003927FA"/>
    <w:rsid w:val="003A4DCC"/>
    <w:rsid w:val="003A650C"/>
    <w:rsid w:val="003A7E42"/>
    <w:rsid w:val="003B083D"/>
    <w:rsid w:val="003B5710"/>
    <w:rsid w:val="003B5812"/>
    <w:rsid w:val="003B5D34"/>
    <w:rsid w:val="003B5FBA"/>
    <w:rsid w:val="003D0912"/>
    <w:rsid w:val="003D7CF6"/>
    <w:rsid w:val="003E0D9D"/>
    <w:rsid w:val="003E1E15"/>
    <w:rsid w:val="003E4321"/>
    <w:rsid w:val="003E4698"/>
    <w:rsid w:val="003F050B"/>
    <w:rsid w:val="003F37F7"/>
    <w:rsid w:val="004000BC"/>
    <w:rsid w:val="0040368D"/>
    <w:rsid w:val="00405475"/>
    <w:rsid w:val="00410B21"/>
    <w:rsid w:val="004136BB"/>
    <w:rsid w:val="004136CB"/>
    <w:rsid w:val="00417D44"/>
    <w:rsid w:val="004277A5"/>
    <w:rsid w:val="00430406"/>
    <w:rsid w:val="0043049A"/>
    <w:rsid w:val="004352BF"/>
    <w:rsid w:val="00436A3F"/>
    <w:rsid w:val="00444120"/>
    <w:rsid w:val="00444A0D"/>
    <w:rsid w:val="00444DDE"/>
    <w:rsid w:val="00445624"/>
    <w:rsid w:val="00445828"/>
    <w:rsid w:val="00446647"/>
    <w:rsid w:val="00450F5D"/>
    <w:rsid w:val="004536E0"/>
    <w:rsid w:val="00455A21"/>
    <w:rsid w:val="00463209"/>
    <w:rsid w:val="004640C9"/>
    <w:rsid w:val="00466538"/>
    <w:rsid w:val="00466D8A"/>
    <w:rsid w:val="004676F8"/>
    <w:rsid w:val="00471204"/>
    <w:rsid w:val="00474CEB"/>
    <w:rsid w:val="00476B12"/>
    <w:rsid w:val="004806A7"/>
    <w:rsid w:val="004822D4"/>
    <w:rsid w:val="004830DB"/>
    <w:rsid w:val="0048449B"/>
    <w:rsid w:val="004851B5"/>
    <w:rsid w:val="00485C0A"/>
    <w:rsid w:val="0048733E"/>
    <w:rsid w:val="00487DCF"/>
    <w:rsid w:val="00491E6B"/>
    <w:rsid w:val="00492ADA"/>
    <w:rsid w:val="004954AA"/>
    <w:rsid w:val="004A2B11"/>
    <w:rsid w:val="004A41D5"/>
    <w:rsid w:val="004A5472"/>
    <w:rsid w:val="004A5AEB"/>
    <w:rsid w:val="004A6428"/>
    <w:rsid w:val="004B30AA"/>
    <w:rsid w:val="004B75EE"/>
    <w:rsid w:val="004C0957"/>
    <w:rsid w:val="004C4378"/>
    <w:rsid w:val="004C7B09"/>
    <w:rsid w:val="004D09A6"/>
    <w:rsid w:val="004D1DEB"/>
    <w:rsid w:val="004D2FA5"/>
    <w:rsid w:val="004D6FBA"/>
    <w:rsid w:val="004E01F0"/>
    <w:rsid w:val="004E4707"/>
    <w:rsid w:val="004E5A22"/>
    <w:rsid w:val="004E6465"/>
    <w:rsid w:val="004E65A2"/>
    <w:rsid w:val="004F5812"/>
    <w:rsid w:val="0051296A"/>
    <w:rsid w:val="00514461"/>
    <w:rsid w:val="00515AAF"/>
    <w:rsid w:val="00522057"/>
    <w:rsid w:val="005247A2"/>
    <w:rsid w:val="0053593A"/>
    <w:rsid w:val="005359D3"/>
    <w:rsid w:val="00544567"/>
    <w:rsid w:val="00545E34"/>
    <w:rsid w:val="00545FDA"/>
    <w:rsid w:val="00546D81"/>
    <w:rsid w:val="00550118"/>
    <w:rsid w:val="00556ABB"/>
    <w:rsid w:val="0055721F"/>
    <w:rsid w:val="005577FB"/>
    <w:rsid w:val="005605E5"/>
    <w:rsid w:val="00563170"/>
    <w:rsid w:val="00564238"/>
    <w:rsid w:val="00564EC7"/>
    <w:rsid w:val="00571B99"/>
    <w:rsid w:val="00571D4B"/>
    <w:rsid w:val="00577E93"/>
    <w:rsid w:val="00583F56"/>
    <w:rsid w:val="00587005"/>
    <w:rsid w:val="00592E79"/>
    <w:rsid w:val="005B1031"/>
    <w:rsid w:val="005B1AF8"/>
    <w:rsid w:val="005B26D5"/>
    <w:rsid w:val="005B2DCD"/>
    <w:rsid w:val="005B39F3"/>
    <w:rsid w:val="005B4EA0"/>
    <w:rsid w:val="005C31F6"/>
    <w:rsid w:val="005C4BA2"/>
    <w:rsid w:val="005D015C"/>
    <w:rsid w:val="005D19D7"/>
    <w:rsid w:val="005D3355"/>
    <w:rsid w:val="005E60E1"/>
    <w:rsid w:val="005E644E"/>
    <w:rsid w:val="006056CF"/>
    <w:rsid w:val="00610B25"/>
    <w:rsid w:val="0061189E"/>
    <w:rsid w:val="0061794C"/>
    <w:rsid w:val="006212ED"/>
    <w:rsid w:val="00622E0B"/>
    <w:rsid w:val="0062661B"/>
    <w:rsid w:val="006303CA"/>
    <w:rsid w:val="00630F66"/>
    <w:rsid w:val="0063480D"/>
    <w:rsid w:val="006359E9"/>
    <w:rsid w:val="00635AC3"/>
    <w:rsid w:val="00642916"/>
    <w:rsid w:val="006454B5"/>
    <w:rsid w:val="00645A7A"/>
    <w:rsid w:val="006462AC"/>
    <w:rsid w:val="00646686"/>
    <w:rsid w:val="00647962"/>
    <w:rsid w:val="00652DA8"/>
    <w:rsid w:val="00657947"/>
    <w:rsid w:val="00660CD6"/>
    <w:rsid w:val="00664C14"/>
    <w:rsid w:val="00665565"/>
    <w:rsid w:val="006655F4"/>
    <w:rsid w:val="00667EBE"/>
    <w:rsid w:val="00672477"/>
    <w:rsid w:val="00673DEA"/>
    <w:rsid w:val="00673F30"/>
    <w:rsid w:val="006754A4"/>
    <w:rsid w:val="006765B5"/>
    <w:rsid w:val="00681FE2"/>
    <w:rsid w:val="00685289"/>
    <w:rsid w:val="00686F4C"/>
    <w:rsid w:val="00691F3E"/>
    <w:rsid w:val="0069318B"/>
    <w:rsid w:val="006934C2"/>
    <w:rsid w:val="00696084"/>
    <w:rsid w:val="006978E1"/>
    <w:rsid w:val="006A08D6"/>
    <w:rsid w:val="006A1746"/>
    <w:rsid w:val="006B53F4"/>
    <w:rsid w:val="006B5648"/>
    <w:rsid w:val="006C190A"/>
    <w:rsid w:val="006C4858"/>
    <w:rsid w:val="006C7A70"/>
    <w:rsid w:val="006C7A80"/>
    <w:rsid w:val="006D062B"/>
    <w:rsid w:val="006D30E3"/>
    <w:rsid w:val="006D3123"/>
    <w:rsid w:val="006D616A"/>
    <w:rsid w:val="006D61D1"/>
    <w:rsid w:val="006F0ECF"/>
    <w:rsid w:val="006F1BAF"/>
    <w:rsid w:val="006F5FBB"/>
    <w:rsid w:val="007001C9"/>
    <w:rsid w:val="00703C2D"/>
    <w:rsid w:val="0070672F"/>
    <w:rsid w:val="007119C8"/>
    <w:rsid w:val="007155BB"/>
    <w:rsid w:val="00721229"/>
    <w:rsid w:val="00722E1A"/>
    <w:rsid w:val="00727544"/>
    <w:rsid w:val="00727CD1"/>
    <w:rsid w:val="00730F9B"/>
    <w:rsid w:val="007326CF"/>
    <w:rsid w:val="00733FC9"/>
    <w:rsid w:val="007346FB"/>
    <w:rsid w:val="007353E8"/>
    <w:rsid w:val="0073597F"/>
    <w:rsid w:val="007379AC"/>
    <w:rsid w:val="007414EC"/>
    <w:rsid w:val="00743672"/>
    <w:rsid w:val="00746CE9"/>
    <w:rsid w:val="00751B73"/>
    <w:rsid w:val="00752671"/>
    <w:rsid w:val="00752729"/>
    <w:rsid w:val="0075317E"/>
    <w:rsid w:val="0076649A"/>
    <w:rsid w:val="00772ACE"/>
    <w:rsid w:val="00775DEF"/>
    <w:rsid w:val="00785203"/>
    <w:rsid w:val="00786118"/>
    <w:rsid w:val="00795EF0"/>
    <w:rsid w:val="0079694B"/>
    <w:rsid w:val="007A1896"/>
    <w:rsid w:val="007A49FB"/>
    <w:rsid w:val="007A7B2B"/>
    <w:rsid w:val="007B35C1"/>
    <w:rsid w:val="007B5C2D"/>
    <w:rsid w:val="007C1BF4"/>
    <w:rsid w:val="007C4518"/>
    <w:rsid w:val="007D04EA"/>
    <w:rsid w:val="007D39CB"/>
    <w:rsid w:val="007D4F5E"/>
    <w:rsid w:val="007D6B4C"/>
    <w:rsid w:val="007E0E46"/>
    <w:rsid w:val="007E21B7"/>
    <w:rsid w:val="007E21D8"/>
    <w:rsid w:val="007E594F"/>
    <w:rsid w:val="007F31C7"/>
    <w:rsid w:val="007F7D88"/>
    <w:rsid w:val="008000F9"/>
    <w:rsid w:val="00800ABA"/>
    <w:rsid w:val="00805AAF"/>
    <w:rsid w:val="0081126D"/>
    <w:rsid w:val="00813D19"/>
    <w:rsid w:val="00815AB4"/>
    <w:rsid w:val="008162BE"/>
    <w:rsid w:val="00817A94"/>
    <w:rsid w:val="00822024"/>
    <w:rsid w:val="00827A9F"/>
    <w:rsid w:val="00834ADB"/>
    <w:rsid w:val="00836FF7"/>
    <w:rsid w:val="00842FED"/>
    <w:rsid w:val="008458A0"/>
    <w:rsid w:val="00850CBE"/>
    <w:rsid w:val="0085149C"/>
    <w:rsid w:val="0085263B"/>
    <w:rsid w:val="00860237"/>
    <w:rsid w:val="008619E9"/>
    <w:rsid w:val="00861F7B"/>
    <w:rsid w:val="00862AA4"/>
    <w:rsid w:val="00875D7C"/>
    <w:rsid w:val="00883013"/>
    <w:rsid w:val="008849B3"/>
    <w:rsid w:val="00891164"/>
    <w:rsid w:val="00894259"/>
    <w:rsid w:val="00894770"/>
    <w:rsid w:val="008956BA"/>
    <w:rsid w:val="0089610D"/>
    <w:rsid w:val="00896FD5"/>
    <w:rsid w:val="00897EC1"/>
    <w:rsid w:val="008A2AFF"/>
    <w:rsid w:val="008A5479"/>
    <w:rsid w:val="008A77AA"/>
    <w:rsid w:val="008B07F2"/>
    <w:rsid w:val="008B5F07"/>
    <w:rsid w:val="008B6EE6"/>
    <w:rsid w:val="008B7D1D"/>
    <w:rsid w:val="008C001C"/>
    <w:rsid w:val="008C11CD"/>
    <w:rsid w:val="008D2ECB"/>
    <w:rsid w:val="008E5DD0"/>
    <w:rsid w:val="008F3B37"/>
    <w:rsid w:val="008F6CCA"/>
    <w:rsid w:val="008F743B"/>
    <w:rsid w:val="00900398"/>
    <w:rsid w:val="00901ED9"/>
    <w:rsid w:val="009040C2"/>
    <w:rsid w:val="00904703"/>
    <w:rsid w:val="009050CF"/>
    <w:rsid w:val="009104A2"/>
    <w:rsid w:val="00914EA3"/>
    <w:rsid w:val="00915A24"/>
    <w:rsid w:val="00916541"/>
    <w:rsid w:val="00917915"/>
    <w:rsid w:val="009225EF"/>
    <w:rsid w:val="009241D1"/>
    <w:rsid w:val="009246E6"/>
    <w:rsid w:val="009266E8"/>
    <w:rsid w:val="0092677A"/>
    <w:rsid w:val="00936667"/>
    <w:rsid w:val="00941DB2"/>
    <w:rsid w:val="00942C88"/>
    <w:rsid w:val="00945C67"/>
    <w:rsid w:val="009551A4"/>
    <w:rsid w:val="0095596A"/>
    <w:rsid w:val="009561DA"/>
    <w:rsid w:val="009610F6"/>
    <w:rsid w:val="009670A3"/>
    <w:rsid w:val="00972ED6"/>
    <w:rsid w:val="00977F6A"/>
    <w:rsid w:val="00980E77"/>
    <w:rsid w:val="009831A4"/>
    <w:rsid w:val="009847D1"/>
    <w:rsid w:val="00990052"/>
    <w:rsid w:val="00992C28"/>
    <w:rsid w:val="00994E07"/>
    <w:rsid w:val="009A077F"/>
    <w:rsid w:val="009A0F55"/>
    <w:rsid w:val="009A37EF"/>
    <w:rsid w:val="009A64F6"/>
    <w:rsid w:val="009B50C5"/>
    <w:rsid w:val="009B7791"/>
    <w:rsid w:val="009B7DC2"/>
    <w:rsid w:val="009C0AFE"/>
    <w:rsid w:val="009C1307"/>
    <w:rsid w:val="009C3EBB"/>
    <w:rsid w:val="009C57A2"/>
    <w:rsid w:val="009C6A1A"/>
    <w:rsid w:val="009D2DE5"/>
    <w:rsid w:val="009D7E99"/>
    <w:rsid w:val="009E5F9C"/>
    <w:rsid w:val="00A06C1C"/>
    <w:rsid w:val="00A10134"/>
    <w:rsid w:val="00A134C1"/>
    <w:rsid w:val="00A15BA4"/>
    <w:rsid w:val="00A17B0B"/>
    <w:rsid w:val="00A227B8"/>
    <w:rsid w:val="00A25889"/>
    <w:rsid w:val="00A27D03"/>
    <w:rsid w:val="00A30657"/>
    <w:rsid w:val="00A310A8"/>
    <w:rsid w:val="00A31429"/>
    <w:rsid w:val="00A34F62"/>
    <w:rsid w:val="00A36BCC"/>
    <w:rsid w:val="00A44F4D"/>
    <w:rsid w:val="00A45A82"/>
    <w:rsid w:val="00A54EC3"/>
    <w:rsid w:val="00A577D5"/>
    <w:rsid w:val="00A603B9"/>
    <w:rsid w:val="00A61C1C"/>
    <w:rsid w:val="00A62BBD"/>
    <w:rsid w:val="00A73C6A"/>
    <w:rsid w:val="00A8161C"/>
    <w:rsid w:val="00A8247B"/>
    <w:rsid w:val="00A86D93"/>
    <w:rsid w:val="00A909F3"/>
    <w:rsid w:val="00A91AC9"/>
    <w:rsid w:val="00A91EE1"/>
    <w:rsid w:val="00A927F9"/>
    <w:rsid w:val="00A929D9"/>
    <w:rsid w:val="00A93925"/>
    <w:rsid w:val="00A94D5A"/>
    <w:rsid w:val="00AA07DB"/>
    <w:rsid w:val="00AA5EBD"/>
    <w:rsid w:val="00AA65FB"/>
    <w:rsid w:val="00AA66A3"/>
    <w:rsid w:val="00AB06FA"/>
    <w:rsid w:val="00AB4C5B"/>
    <w:rsid w:val="00AB7CEF"/>
    <w:rsid w:val="00AC1796"/>
    <w:rsid w:val="00AC39AA"/>
    <w:rsid w:val="00AC472D"/>
    <w:rsid w:val="00AC4DBE"/>
    <w:rsid w:val="00AD0426"/>
    <w:rsid w:val="00AD14AC"/>
    <w:rsid w:val="00AD390A"/>
    <w:rsid w:val="00AD42B7"/>
    <w:rsid w:val="00AD502D"/>
    <w:rsid w:val="00AD54AB"/>
    <w:rsid w:val="00AD587B"/>
    <w:rsid w:val="00AD5F8C"/>
    <w:rsid w:val="00AD7D7A"/>
    <w:rsid w:val="00AE06D4"/>
    <w:rsid w:val="00AE1BF4"/>
    <w:rsid w:val="00AE52C8"/>
    <w:rsid w:val="00AE5F40"/>
    <w:rsid w:val="00AF1ECC"/>
    <w:rsid w:val="00AF3EE0"/>
    <w:rsid w:val="00AF5B95"/>
    <w:rsid w:val="00AF6B3E"/>
    <w:rsid w:val="00B00F46"/>
    <w:rsid w:val="00B01E54"/>
    <w:rsid w:val="00B0276B"/>
    <w:rsid w:val="00B05C07"/>
    <w:rsid w:val="00B077B8"/>
    <w:rsid w:val="00B07E88"/>
    <w:rsid w:val="00B1038A"/>
    <w:rsid w:val="00B10498"/>
    <w:rsid w:val="00B10CF9"/>
    <w:rsid w:val="00B11919"/>
    <w:rsid w:val="00B141B8"/>
    <w:rsid w:val="00B15C48"/>
    <w:rsid w:val="00B1633E"/>
    <w:rsid w:val="00B2304C"/>
    <w:rsid w:val="00B25BCB"/>
    <w:rsid w:val="00B2641E"/>
    <w:rsid w:val="00B26A06"/>
    <w:rsid w:val="00B33228"/>
    <w:rsid w:val="00B33524"/>
    <w:rsid w:val="00B36752"/>
    <w:rsid w:val="00B37C57"/>
    <w:rsid w:val="00B42D26"/>
    <w:rsid w:val="00B42F87"/>
    <w:rsid w:val="00B44423"/>
    <w:rsid w:val="00B51CE3"/>
    <w:rsid w:val="00B53D64"/>
    <w:rsid w:val="00B646E0"/>
    <w:rsid w:val="00B65CAA"/>
    <w:rsid w:val="00B662C2"/>
    <w:rsid w:val="00B7069F"/>
    <w:rsid w:val="00B72608"/>
    <w:rsid w:val="00B72D7F"/>
    <w:rsid w:val="00B80127"/>
    <w:rsid w:val="00B81303"/>
    <w:rsid w:val="00B8176F"/>
    <w:rsid w:val="00B81CC4"/>
    <w:rsid w:val="00B82925"/>
    <w:rsid w:val="00B84AAF"/>
    <w:rsid w:val="00B86806"/>
    <w:rsid w:val="00B90939"/>
    <w:rsid w:val="00B944FE"/>
    <w:rsid w:val="00BA27AE"/>
    <w:rsid w:val="00BA288E"/>
    <w:rsid w:val="00BB792E"/>
    <w:rsid w:val="00BC2EA1"/>
    <w:rsid w:val="00BC5EB3"/>
    <w:rsid w:val="00BD418B"/>
    <w:rsid w:val="00BE08B1"/>
    <w:rsid w:val="00BE4F07"/>
    <w:rsid w:val="00BE5881"/>
    <w:rsid w:val="00BF063C"/>
    <w:rsid w:val="00C01BCE"/>
    <w:rsid w:val="00C03C83"/>
    <w:rsid w:val="00C05DCD"/>
    <w:rsid w:val="00C11D33"/>
    <w:rsid w:val="00C12DAA"/>
    <w:rsid w:val="00C14D94"/>
    <w:rsid w:val="00C16426"/>
    <w:rsid w:val="00C23340"/>
    <w:rsid w:val="00C31CEC"/>
    <w:rsid w:val="00C353C1"/>
    <w:rsid w:val="00C4262B"/>
    <w:rsid w:val="00C436B1"/>
    <w:rsid w:val="00C46516"/>
    <w:rsid w:val="00C473BA"/>
    <w:rsid w:val="00C47B5C"/>
    <w:rsid w:val="00C50FAF"/>
    <w:rsid w:val="00C54B32"/>
    <w:rsid w:val="00C62338"/>
    <w:rsid w:val="00C638D3"/>
    <w:rsid w:val="00C639F5"/>
    <w:rsid w:val="00C6515F"/>
    <w:rsid w:val="00C722FB"/>
    <w:rsid w:val="00C76002"/>
    <w:rsid w:val="00C77DD3"/>
    <w:rsid w:val="00C81135"/>
    <w:rsid w:val="00C81E0E"/>
    <w:rsid w:val="00C82C3B"/>
    <w:rsid w:val="00C9071A"/>
    <w:rsid w:val="00C9302D"/>
    <w:rsid w:val="00C93485"/>
    <w:rsid w:val="00C93C39"/>
    <w:rsid w:val="00CA2D35"/>
    <w:rsid w:val="00CA3F95"/>
    <w:rsid w:val="00CA607B"/>
    <w:rsid w:val="00CA6529"/>
    <w:rsid w:val="00CC4F8A"/>
    <w:rsid w:val="00CD38D9"/>
    <w:rsid w:val="00CD3D85"/>
    <w:rsid w:val="00CE0150"/>
    <w:rsid w:val="00CE06C7"/>
    <w:rsid w:val="00CE1786"/>
    <w:rsid w:val="00CE2886"/>
    <w:rsid w:val="00CE46F7"/>
    <w:rsid w:val="00CE5AD1"/>
    <w:rsid w:val="00CE6210"/>
    <w:rsid w:val="00CE6E66"/>
    <w:rsid w:val="00CE7024"/>
    <w:rsid w:val="00CE7D0D"/>
    <w:rsid w:val="00CF502D"/>
    <w:rsid w:val="00CF5E04"/>
    <w:rsid w:val="00CF7E3D"/>
    <w:rsid w:val="00D0225C"/>
    <w:rsid w:val="00D0255B"/>
    <w:rsid w:val="00D04BCD"/>
    <w:rsid w:val="00D0697D"/>
    <w:rsid w:val="00D118DB"/>
    <w:rsid w:val="00D12AD9"/>
    <w:rsid w:val="00D1609A"/>
    <w:rsid w:val="00D165EB"/>
    <w:rsid w:val="00D2010B"/>
    <w:rsid w:val="00D20C1A"/>
    <w:rsid w:val="00D21793"/>
    <w:rsid w:val="00D21BA1"/>
    <w:rsid w:val="00D222E2"/>
    <w:rsid w:val="00D2357D"/>
    <w:rsid w:val="00D23677"/>
    <w:rsid w:val="00D300F8"/>
    <w:rsid w:val="00D30DFD"/>
    <w:rsid w:val="00D317FF"/>
    <w:rsid w:val="00D40700"/>
    <w:rsid w:val="00D42FED"/>
    <w:rsid w:val="00D44989"/>
    <w:rsid w:val="00D45F64"/>
    <w:rsid w:val="00D46A22"/>
    <w:rsid w:val="00D46AE0"/>
    <w:rsid w:val="00D53449"/>
    <w:rsid w:val="00D5425F"/>
    <w:rsid w:val="00D6020B"/>
    <w:rsid w:val="00D60FA9"/>
    <w:rsid w:val="00D6229C"/>
    <w:rsid w:val="00D67546"/>
    <w:rsid w:val="00D70E29"/>
    <w:rsid w:val="00D74358"/>
    <w:rsid w:val="00D81497"/>
    <w:rsid w:val="00D84F51"/>
    <w:rsid w:val="00D86591"/>
    <w:rsid w:val="00D93286"/>
    <w:rsid w:val="00DB18A6"/>
    <w:rsid w:val="00DB2981"/>
    <w:rsid w:val="00DB32DD"/>
    <w:rsid w:val="00DB335E"/>
    <w:rsid w:val="00DB48AA"/>
    <w:rsid w:val="00DB6D64"/>
    <w:rsid w:val="00DC5EB9"/>
    <w:rsid w:val="00DD1581"/>
    <w:rsid w:val="00DD2A7B"/>
    <w:rsid w:val="00DD415E"/>
    <w:rsid w:val="00DD4B0E"/>
    <w:rsid w:val="00DD52F5"/>
    <w:rsid w:val="00DD5861"/>
    <w:rsid w:val="00DE7717"/>
    <w:rsid w:val="00DF0381"/>
    <w:rsid w:val="00DF1A3C"/>
    <w:rsid w:val="00DF201E"/>
    <w:rsid w:val="00E01DB8"/>
    <w:rsid w:val="00E0411A"/>
    <w:rsid w:val="00E05188"/>
    <w:rsid w:val="00E072D6"/>
    <w:rsid w:val="00E13029"/>
    <w:rsid w:val="00E17ED2"/>
    <w:rsid w:val="00E23A00"/>
    <w:rsid w:val="00E25C16"/>
    <w:rsid w:val="00E25FFF"/>
    <w:rsid w:val="00E2711D"/>
    <w:rsid w:val="00E31506"/>
    <w:rsid w:val="00E3178F"/>
    <w:rsid w:val="00E3280C"/>
    <w:rsid w:val="00E35A46"/>
    <w:rsid w:val="00E35E11"/>
    <w:rsid w:val="00E374B7"/>
    <w:rsid w:val="00E37766"/>
    <w:rsid w:val="00E43234"/>
    <w:rsid w:val="00E43865"/>
    <w:rsid w:val="00E43C1E"/>
    <w:rsid w:val="00E44E7A"/>
    <w:rsid w:val="00E4635C"/>
    <w:rsid w:val="00E47736"/>
    <w:rsid w:val="00E4790B"/>
    <w:rsid w:val="00E501C9"/>
    <w:rsid w:val="00E506CA"/>
    <w:rsid w:val="00E559CE"/>
    <w:rsid w:val="00E60189"/>
    <w:rsid w:val="00E619BB"/>
    <w:rsid w:val="00E62FD0"/>
    <w:rsid w:val="00E64C82"/>
    <w:rsid w:val="00E64EA4"/>
    <w:rsid w:val="00E6569A"/>
    <w:rsid w:val="00E668DA"/>
    <w:rsid w:val="00E721D9"/>
    <w:rsid w:val="00E725BD"/>
    <w:rsid w:val="00E72FCA"/>
    <w:rsid w:val="00E73D7D"/>
    <w:rsid w:val="00E773F5"/>
    <w:rsid w:val="00E8291B"/>
    <w:rsid w:val="00E8533D"/>
    <w:rsid w:val="00E856C5"/>
    <w:rsid w:val="00E85905"/>
    <w:rsid w:val="00E877ED"/>
    <w:rsid w:val="00E91237"/>
    <w:rsid w:val="00E933EE"/>
    <w:rsid w:val="00E96204"/>
    <w:rsid w:val="00E9770D"/>
    <w:rsid w:val="00EA269D"/>
    <w:rsid w:val="00EA2DFC"/>
    <w:rsid w:val="00EA57AB"/>
    <w:rsid w:val="00EA68AC"/>
    <w:rsid w:val="00EA79D1"/>
    <w:rsid w:val="00EA7E60"/>
    <w:rsid w:val="00EB043F"/>
    <w:rsid w:val="00EB43D8"/>
    <w:rsid w:val="00EB44E4"/>
    <w:rsid w:val="00EC1D0E"/>
    <w:rsid w:val="00EC5F25"/>
    <w:rsid w:val="00EC6097"/>
    <w:rsid w:val="00EC6346"/>
    <w:rsid w:val="00EC63A2"/>
    <w:rsid w:val="00EC6DD4"/>
    <w:rsid w:val="00ED31DA"/>
    <w:rsid w:val="00EE12AD"/>
    <w:rsid w:val="00EE21EB"/>
    <w:rsid w:val="00EE3A0B"/>
    <w:rsid w:val="00EE3AA6"/>
    <w:rsid w:val="00EE4D24"/>
    <w:rsid w:val="00EE4E04"/>
    <w:rsid w:val="00EE57FA"/>
    <w:rsid w:val="00EE581A"/>
    <w:rsid w:val="00EE6552"/>
    <w:rsid w:val="00EE6599"/>
    <w:rsid w:val="00EF0AB8"/>
    <w:rsid w:val="00F03DB5"/>
    <w:rsid w:val="00F0572C"/>
    <w:rsid w:val="00F1156A"/>
    <w:rsid w:val="00F11624"/>
    <w:rsid w:val="00F20C0B"/>
    <w:rsid w:val="00F2184C"/>
    <w:rsid w:val="00F21989"/>
    <w:rsid w:val="00F2365D"/>
    <w:rsid w:val="00F238A3"/>
    <w:rsid w:val="00F31F50"/>
    <w:rsid w:val="00F32CE4"/>
    <w:rsid w:val="00F36AD5"/>
    <w:rsid w:val="00F4046D"/>
    <w:rsid w:val="00F45E26"/>
    <w:rsid w:val="00F47031"/>
    <w:rsid w:val="00F52160"/>
    <w:rsid w:val="00F67A66"/>
    <w:rsid w:val="00F703E8"/>
    <w:rsid w:val="00F70A3B"/>
    <w:rsid w:val="00F71D3E"/>
    <w:rsid w:val="00F73FBF"/>
    <w:rsid w:val="00F7554E"/>
    <w:rsid w:val="00F822F2"/>
    <w:rsid w:val="00F83D46"/>
    <w:rsid w:val="00F876F7"/>
    <w:rsid w:val="00F87F2F"/>
    <w:rsid w:val="00F95395"/>
    <w:rsid w:val="00F95E75"/>
    <w:rsid w:val="00FA0DC1"/>
    <w:rsid w:val="00FA1C1A"/>
    <w:rsid w:val="00FA4F7D"/>
    <w:rsid w:val="00FA6409"/>
    <w:rsid w:val="00FA6628"/>
    <w:rsid w:val="00FB4A55"/>
    <w:rsid w:val="00FC2443"/>
    <w:rsid w:val="00FC51D6"/>
    <w:rsid w:val="00FC6972"/>
    <w:rsid w:val="00FC74A5"/>
    <w:rsid w:val="00FD39EF"/>
    <w:rsid w:val="00FD7840"/>
    <w:rsid w:val="00FE10E6"/>
    <w:rsid w:val="00FE3313"/>
    <w:rsid w:val="00FE414D"/>
    <w:rsid w:val="00FE466F"/>
    <w:rsid w:val="00FF0796"/>
    <w:rsid w:val="00FF3CF1"/>
    <w:rsid w:val="00FF4848"/>
    <w:rsid w:val="00FF5611"/>
    <w:rsid w:val="00FF7456"/>
    <w:rsid w:val="00FF78C6"/>
    <w:rsid w:val="01285A37"/>
    <w:rsid w:val="0133647B"/>
    <w:rsid w:val="0171293B"/>
    <w:rsid w:val="017B2F76"/>
    <w:rsid w:val="01A05CEF"/>
    <w:rsid w:val="01A3411E"/>
    <w:rsid w:val="01C27737"/>
    <w:rsid w:val="01C551EB"/>
    <w:rsid w:val="01C55F90"/>
    <w:rsid w:val="01C97DA3"/>
    <w:rsid w:val="02052B74"/>
    <w:rsid w:val="0206797D"/>
    <w:rsid w:val="020825D6"/>
    <w:rsid w:val="020A4C61"/>
    <w:rsid w:val="02555A1A"/>
    <w:rsid w:val="02892465"/>
    <w:rsid w:val="029F577C"/>
    <w:rsid w:val="02D34D76"/>
    <w:rsid w:val="02E21EC5"/>
    <w:rsid w:val="02E6325B"/>
    <w:rsid w:val="02EA58FB"/>
    <w:rsid w:val="02ED27BB"/>
    <w:rsid w:val="02FC0D31"/>
    <w:rsid w:val="03215E45"/>
    <w:rsid w:val="032A33BF"/>
    <w:rsid w:val="033D0092"/>
    <w:rsid w:val="03473887"/>
    <w:rsid w:val="0351679D"/>
    <w:rsid w:val="036546F0"/>
    <w:rsid w:val="03794585"/>
    <w:rsid w:val="03842147"/>
    <w:rsid w:val="03A207F9"/>
    <w:rsid w:val="03C206F9"/>
    <w:rsid w:val="03EA361A"/>
    <w:rsid w:val="047E3040"/>
    <w:rsid w:val="04A06C3B"/>
    <w:rsid w:val="04BA024D"/>
    <w:rsid w:val="04D44E58"/>
    <w:rsid w:val="052B5569"/>
    <w:rsid w:val="0546211A"/>
    <w:rsid w:val="05703B16"/>
    <w:rsid w:val="05AA4481"/>
    <w:rsid w:val="065B2E60"/>
    <w:rsid w:val="068716AB"/>
    <w:rsid w:val="068C119A"/>
    <w:rsid w:val="06AF00AD"/>
    <w:rsid w:val="06B667F5"/>
    <w:rsid w:val="07127FB2"/>
    <w:rsid w:val="079017BD"/>
    <w:rsid w:val="07943A43"/>
    <w:rsid w:val="07A8410B"/>
    <w:rsid w:val="07C02641"/>
    <w:rsid w:val="07E7134A"/>
    <w:rsid w:val="07EA41A8"/>
    <w:rsid w:val="08075874"/>
    <w:rsid w:val="0818628D"/>
    <w:rsid w:val="08E154EC"/>
    <w:rsid w:val="091E1D93"/>
    <w:rsid w:val="093C3120"/>
    <w:rsid w:val="096D1295"/>
    <w:rsid w:val="09A536E1"/>
    <w:rsid w:val="0A382E89"/>
    <w:rsid w:val="0A9D0972"/>
    <w:rsid w:val="0ACE7F19"/>
    <w:rsid w:val="0AE31B58"/>
    <w:rsid w:val="0AE43372"/>
    <w:rsid w:val="0B274821"/>
    <w:rsid w:val="0B326EA7"/>
    <w:rsid w:val="0B326F23"/>
    <w:rsid w:val="0B587E8A"/>
    <w:rsid w:val="0B7328C0"/>
    <w:rsid w:val="0BC56105"/>
    <w:rsid w:val="0BD34197"/>
    <w:rsid w:val="0BDC754F"/>
    <w:rsid w:val="0C032714"/>
    <w:rsid w:val="0C2439A3"/>
    <w:rsid w:val="0C636F26"/>
    <w:rsid w:val="0C7A6819"/>
    <w:rsid w:val="0C88507F"/>
    <w:rsid w:val="0CD17F35"/>
    <w:rsid w:val="0CED3829"/>
    <w:rsid w:val="0D0C0F58"/>
    <w:rsid w:val="0D221A83"/>
    <w:rsid w:val="0D475CB3"/>
    <w:rsid w:val="0D7C0DB9"/>
    <w:rsid w:val="0DE36303"/>
    <w:rsid w:val="0E0F0EFA"/>
    <w:rsid w:val="0E291A3E"/>
    <w:rsid w:val="0E4367E7"/>
    <w:rsid w:val="0E4F40FF"/>
    <w:rsid w:val="0E5A7713"/>
    <w:rsid w:val="0E752054"/>
    <w:rsid w:val="0E8E7A12"/>
    <w:rsid w:val="0EB66698"/>
    <w:rsid w:val="0F09364A"/>
    <w:rsid w:val="0F28720D"/>
    <w:rsid w:val="0F3C2287"/>
    <w:rsid w:val="0F761EFA"/>
    <w:rsid w:val="0FBA7B4F"/>
    <w:rsid w:val="0FBE09EC"/>
    <w:rsid w:val="0FD41583"/>
    <w:rsid w:val="0FE140A6"/>
    <w:rsid w:val="0FF771A0"/>
    <w:rsid w:val="101004BE"/>
    <w:rsid w:val="10534639"/>
    <w:rsid w:val="105A28F6"/>
    <w:rsid w:val="106F0017"/>
    <w:rsid w:val="10795B97"/>
    <w:rsid w:val="10855112"/>
    <w:rsid w:val="109632CC"/>
    <w:rsid w:val="10A22942"/>
    <w:rsid w:val="10BF52F3"/>
    <w:rsid w:val="112B374A"/>
    <w:rsid w:val="113377C8"/>
    <w:rsid w:val="114031DA"/>
    <w:rsid w:val="114634A3"/>
    <w:rsid w:val="11753F3B"/>
    <w:rsid w:val="119D0A18"/>
    <w:rsid w:val="11AF4D4C"/>
    <w:rsid w:val="11C23E7D"/>
    <w:rsid w:val="11C25897"/>
    <w:rsid w:val="12313538"/>
    <w:rsid w:val="12325024"/>
    <w:rsid w:val="124B2F3A"/>
    <w:rsid w:val="126F09CF"/>
    <w:rsid w:val="128E7CAA"/>
    <w:rsid w:val="135172E6"/>
    <w:rsid w:val="1359268F"/>
    <w:rsid w:val="138827EB"/>
    <w:rsid w:val="13A95575"/>
    <w:rsid w:val="13B90680"/>
    <w:rsid w:val="13D14E15"/>
    <w:rsid w:val="143D2AC1"/>
    <w:rsid w:val="14497649"/>
    <w:rsid w:val="14795FB4"/>
    <w:rsid w:val="14A12AC5"/>
    <w:rsid w:val="14B34F68"/>
    <w:rsid w:val="14DB04C0"/>
    <w:rsid w:val="14E00AC7"/>
    <w:rsid w:val="15823BF8"/>
    <w:rsid w:val="15B90672"/>
    <w:rsid w:val="15D53080"/>
    <w:rsid w:val="15F647F0"/>
    <w:rsid w:val="160D24A0"/>
    <w:rsid w:val="16195862"/>
    <w:rsid w:val="16395B90"/>
    <w:rsid w:val="163E7608"/>
    <w:rsid w:val="165560D2"/>
    <w:rsid w:val="166C600B"/>
    <w:rsid w:val="16865BF4"/>
    <w:rsid w:val="168F2A39"/>
    <w:rsid w:val="16B0440B"/>
    <w:rsid w:val="16CE5AE8"/>
    <w:rsid w:val="17063451"/>
    <w:rsid w:val="17585EFB"/>
    <w:rsid w:val="17771EF1"/>
    <w:rsid w:val="17E1696F"/>
    <w:rsid w:val="17E34C7B"/>
    <w:rsid w:val="181F390A"/>
    <w:rsid w:val="18553EFB"/>
    <w:rsid w:val="18BA1792"/>
    <w:rsid w:val="18BE54AB"/>
    <w:rsid w:val="18EE0E40"/>
    <w:rsid w:val="18F03E0E"/>
    <w:rsid w:val="1916268E"/>
    <w:rsid w:val="191D1854"/>
    <w:rsid w:val="192A644F"/>
    <w:rsid w:val="193844D5"/>
    <w:rsid w:val="19472442"/>
    <w:rsid w:val="197446A2"/>
    <w:rsid w:val="198F5911"/>
    <w:rsid w:val="19C620D8"/>
    <w:rsid w:val="19ED31E3"/>
    <w:rsid w:val="1A1F3086"/>
    <w:rsid w:val="1A417587"/>
    <w:rsid w:val="1A571195"/>
    <w:rsid w:val="1A710A6A"/>
    <w:rsid w:val="1A967652"/>
    <w:rsid w:val="1AB046E3"/>
    <w:rsid w:val="1AD77023"/>
    <w:rsid w:val="1B384941"/>
    <w:rsid w:val="1B5E36D7"/>
    <w:rsid w:val="1B91347B"/>
    <w:rsid w:val="1B9B46FB"/>
    <w:rsid w:val="1BD60879"/>
    <w:rsid w:val="1C310C44"/>
    <w:rsid w:val="1C5D27B5"/>
    <w:rsid w:val="1C74790C"/>
    <w:rsid w:val="1C7E0366"/>
    <w:rsid w:val="1CB13ED8"/>
    <w:rsid w:val="1CBE0FD4"/>
    <w:rsid w:val="1CDF583F"/>
    <w:rsid w:val="1D7917D2"/>
    <w:rsid w:val="1DA21104"/>
    <w:rsid w:val="1DD953DF"/>
    <w:rsid w:val="1DE834AC"/>
    <w:rsid w:val="1E220D30"/>
    <w:rsid w:val="1E3D2BCB"/>
    <w:rsid w:val="1E4833A0"/>
    <w:rsid w:val="1E4C608A"/>
    <w:rsid w:val="1E532C6C"/>
    <w:rsid w:val="1E5418DB"/>
    <w:rsid w:val="1E594C23"/>
    <w:rsid w:val="1E8F29AD"/>
    <w:rsid w:val="1EB66FF0"/>
    <w:rsid w:val="1EC66D9C"/>
    <w:rsid w:val="1EDE2D5C"/>
    <w:rsid w:val="1F104C0D"/>
    <w:rsid w:val="1F4402E9"/>
    <w:rsid w:val="1F7460B3"/>
    <w:rsid w:val="1F7B1EF4"/>
    <w:rsid w:val="1F8E50F2"/>
    <w:rsid w:val="1FBF4B75"/>
    <w:rsid w:val="1FDC6E9A"/>
    <w:rsid w:val="1FEC2008"/>
    <w:rsid w:val="203D376E"/>
    <w:rsid w:val="209B5F4B"/>
    <w:rsid w:val="20AE19CA"/>
    <w:rsid w:val="20E661B9"/>
    <w:rsid w:val="212843EE"/>
    <w:rsid w:val="213161D7"/>
    <w:rsid w:val="213275DB"/>
    <w:rsid w:val="213A68E3"/>
    <w:rsid w:val="214146CA"/>
    <w:rsid w:val="21A54B63"/>
    <w:rsid w:val="21C10BFF"/>
    <w:rsid w:val="21DE27F8"/>
    <w:rsid w:val="220A6A85"/>
    <w:rsid w:val="221F150A"/>
    <w:rsid w:val="222F49F2"/>
    <w:rsid w:val="22461C8F"/>
    <w:rsid w:val="22472CFB"/>
    <w:rsid w:val="22AE4936"/>
    <w:rsid w:val="22D33E4F"/>
    <w:rsid w:val="22D47F17"/>
    <w:rsid w:val="22DB16F6"/>
    <w:rsid w:val="22DE3526"/>
    <w:rsid w:val="22E13380"/>
    <w:rsid w:val="231F0B84"/>
    <w:rsid w:val="23702ABE"/>
    <w:rsid w:val="238F3E12"/>
    <w:rsid w:val="23A2277C"/>
    <w:rsid w:val="23E32EED"/>
    <w:rsid w:val="242F0417"/>
    <w:rsid w:val="24596806"/>
    <w:rsid w:val="24A807B3"/>
    <w:rsid w:val="24B00212"/>
    <w:rsid w:val="24D952D6"/>
    <w:rsid w:val="25134969"/>
    <w:rsid w:val="255149E7"/>
    <w:rsid w:val="255D6348"/>
    <w:rsid w:val="25D20480"/>
    <w:rsid w:val="264D61F0"/>
    <w:rsid w:val="267A1BC6"/>
    <w:rsid w:val="26831473"/>
    <w:rsid w:val="269B7D2A"/>
    <w:rsid w:val="26A10E3D"/>
    <w:rsid w:val="26D10086"/>
    <w:rsid w:val="26E77441"/>
    <w:rsid w:val="271C6DD2"/>
    <w:rsid w:val="27383550"/>
    <w:rsid w:val="273C0CF1"/>
    <w:rsid w:val="27452614"/>
    <w:rsid w:val="27BF3A38"/>
    <w:rsid w:val="27E2357E"/>
    <w:rsid w:val="27E40714"/>
    <w:rsid w:val="27E871A6"/>
    <w:rsid w:val="28144833"/>
    <w:rsid w:val="28291154"/>
    <w:rsid w:val="28615858"/>
    <w:rsid w:val="28820E72"/>
    <w:rsid w:val="289211F0"/>
    <w:rsid w:val="28C3168E"/>
    <w:rsid w:val="28E7551F"/>
    <w:rsid w:val="28EE76F8"/>
    <w:rsid w:val="28EF5426"/>
    <w:rsid w:val="296745CA"/>
    <w:rsid w:val="29720B91"/>
    <w:rsid w:val="297E5734"/>
    <w:rsid w:val="29AE12A6"/>
    <w:rsid w:val="29B175E9"/>
    <w:rsid w:val="29B4470D"/>
    <w:rsid w:val="29E1045C"/>
    <w:rsid w:val="29FC60D1"/>
    <w:rsid w:val="2A144F2C"/>
    <w:rsid w:val="2A194B27"/>
    <w:rsid w:val="2A1A7767"/>
    <w:rsid w:val="2A2537AE"/>
    <w:rsid w:val="2A930A9D"/>
    <w:rsid w:val="2AB03AF4"/>
    <w:rsid w:val="2AB523B8"/>
    <w:rsid w:val="2ADD3D42"/>
    <w:rsid w:val="2B00745F"/>
    <w:rsid w:val="2B1447FA"/>
    <w:rsid w:val="2B1E2511"/>
    <w:rsid w:val="2B3C18E1"/>
    <w:rsid w:val="2B521A1C"/>
    <w:rsid w:val="2B96586E"/>
    <w:rsid w:val="2B994E42"/>
    <w:rsid w:val="2BAC17D3"/>
    <w:rsid w:val="2BC14087"/>
    <w:rsid w:val="2BD47DD1"/>
    <w:rsid w:val="2BD55981"/>
    <w:rsid w:val="2C18381B"/>
    <w:rsid w:val="2C322EC5"/>
    <w:rsid w:val="2C50060E"/>
    <w:rsid w:val="2C821C2D"/>
    <w:rsid w:val="2C895D37"/>
    <w:rsid w:val="2CBD182C"/>
    <w:rsid w:val="2CD00E04"/>
    <w:rsid w:val="2CFC4BC5"/>
    <w:rsid w:val="2D0863A6"/>
    <w:rsid w:val="2D1E5561"/>
    <w:rsid w:val="2D3947DE"/>
    <w:rsid w:val="2DD03A19"/>
    <w:rsid w:val="2DDF5478"/>
    <w:rsid w:val="2DEB58A4"/>
    <w:rsid w:val="2E082218"/>
    <w:rsid w:val="2EDA3FE7"/>
    <w:rsid w:val="2EEA3C07"/>
    <w:rsid w:val="2F010232"/>
    <w:rsid w:val="2F11639D"/>
    <w:rsid w:val="2F1370BD"/>
    <w:rsid w:val="2F23058A"/>
    <w:rsid w:val="2F2424C3"/>
    <w:rsid w:val="2F293F89"/>
    <w:rsid w:val="2F30200E"/>
    <w:rsid w:val="2F5E3BC0"/>
    <w:rsid w:val="2F646B00"/>
    <w:rsid w:val="2F6659F5"/>
    <w:rsid w:val="2F8A6464"/>
    <w:rsid w:val="2FC52D6E"/>
    <w:rsid w:val="2FE215DF"/>
    <w:rsid w:val="30162FB1"/>
    <w:rsid w:val="3022711E"/>
    <w:rsid w:val="303D3F2A"/>
    <w:rsid w:val="307459ED"/>
    <w:rsid w:val="30B6395C"/>
    <w:rsid w:val="30DA0F12"/>
    <w:rsid w:val="310162B8"/>
    <w:rsid w:val="31250C4C"/>
    <w:rsid w:val="31517E3B"/>
    <w:rsid w:val="316C5484"/>
    <w:rsid w:val="318B2A07"/>
    <w:rsid w:val="319A2B3F"/>
    <w:rsid w:val="31A00DEF"/>
    <w:rsid w:val="31C5077B"/>
    <w:rsid w:val="320B2FD9"/>
    <w:rsid w:val="3224414A"/>
    <w:rsid w:val="324E7188"/>
    <w:rsid w:val="32511770"/>
    <w:rsid w:val="32753A4A"/>
    <w:rsid w:val="32990E98"/>
    <w:rsid w:val="32A655C6"/>
    <w:rsid w:val="32B877A7"/>
    <w:rsid w:val="32F6377C"/>
    <w:rsid w:val="32FD237D"/>
    <w:rsid w:val="3314317F"/>
    <w:rsid w:val="331A622A"/>
    <w:rsid w:val="3330559B"/>
    <w:rsid w:val="333E0EDA"/>
    <w:rsid w:val="33702B20"/>
    <w:rsid w:val="33730785"/>
    <w:rsid w:val="33801086"/>
    <w:rsid w:val="338679F2"/>
    <w:rsid w:val="33E370B5"/>
    <w:rsid w:val="34373933"/>
    <w:rsid w:val="34D52353"/>
    <w:rsid w:val="34D562D6"/>
    <w:rsid w:val="34E03D9E"/>
    <w:rsid w:val="34EA46D5"/>
    <w:rsid w:val="35254CAC"/>
    <w:rsid w:val="353D0ECF"/>
    <w:rsid w:val="354A2354"/>
    <w:rsid w:val="354F6A74"/>
    <w:rsid w:val="35711025"/>
    <w:rsid w:val="35883C18"/>
    <w:rsid w:val="35F572AB"/>
    <w:rsid w:val="3601078F"/>
    <w:rsid w:val="361B6477"/>
    <w:rsid w:val="362A4818"/>
    <w:rsid w:val="362C46C7"/>
    <w:rsid w:val="36372F05"/>
    <w:rsid w:val="36406AFD"/>
    <w:rsid w:val="364B2BFD"/>
    <w:rsid w:val="364B7E4B"/>
    <w:rsid w:val="36594452"/>
    <w:rsid w:val="36933E9A"/>
    <w:rsid w:val="370E3520"/>
    <w:rsid w:val="37691085"/>
    <w:rsid w:val="377D4AB7"/>
    <w:rsid w:val="37B502A5"/>
    <w:rsid w:val="37BB41E6"/>
    <w:rsid w:val="37D17489"/>
    <w:rsid w:val="37FA05A7"/>
    <w:rsid w:val="381D395D"/>
    <w:rsid w:val="382752A2"/>
    <w:rsid w:val="383D5063"/>
    <w:rsid w:val="38B22DDC"/>
    <w:rsid w:val="38CB27C3"/>
    <w:rsid w:val="38CC4A01"/>
    <w:rsid w:val="38DE222E"/>
    <w:rsid w:val="38F26D1F"/>
    <w:rsid w:val="392A3BCA"/>
    <w:rsid w:val="39303DEF"/>
    <w:rsid w:val="3951111C"/>
    <w:rsid w:val="395141BA"/>
    <w:rsid w:val="395F7778"/>
    <w:rsid w:val="39632093"/>
    <w:rsid w:val="396D72FD"/>
    <w:rsid w:val="39C85235"/>
    <w:rsid w:val="39D31588"/>
    <w:rsid w:val="3A161B0A"/>
    <w:rsid w:val="3A2A7928"/>
    <w:rsid w:val="3ACF7BED"/>
    <w:rsid w:val="3AE94761"/>
    <w:rsid w:val="3B014827"/>
    <w:rsid w:val="3B0E129E"/>
    <w:rsid w:val="3B1A1661"/>
    <w:rsid w:val="3B586823"/>
    <w:rsid w:val="3BEF2289"/>
    <w:rsid w:val="3BF579F5"/>
    <w:rsid w:val="3C026128"/>
    <w:rsid w:val="3C3D4E7B"/>
    <w:rsid w:val="3C69783D"/>
    <w:rsid w:val="3C6A0B77"/>
    <w:rsid w:val="3CE856F7"/>
    <w:rsid w:val="3D154158"/>
    <w:rsid w:val="3DD27BA0"/>
    <w:rsid w:val="3DD4459F"/>
    <w:rsid w:val="3E1D0ACF"/>
    <w:rsid w:val="3E4A2C6F"/>
    <w:rsid w:val="3E7D5436"/>
    <w:rsid w:val="3EBF30F2"/>
    <w:rsid w:val="3EC36C55"/>
    <w:rsid w:val="3EC66168"/>
    <w:rsid w:val="3EE742D7"/>
    <w:rsid w:val="3F437571"/>
    <w:rsid w:val="3F572ADF"/>
    <w:rsid w:val="3F5B455D"/>
    <w:rsid w:val="3F820A93"/>
    <w:rsid w:val="3F947128"/>
    <w:rsid w:val="3FA81EF7"/>
    <w:rsid w:val="3FDF73AB"/>
    <w:rsid w:val="4010048F"/>
    <w:rsid w:val="401668E3"/>
    <w:rsid w:val="401B2CEB"/>
    <w:rsid w:val="40990788"/>
    <w:rsid w:val="40A90250"/>
    <w:rsid w:val="40D92B8F"/>
    <w:rsid w:val="40E96C5C"/>
    <w:rsid w:val="40FF1E09"/>
    <w:rsid w:val="4140210C"/>
    <w:rsid w:val="416A1A83"/>
    <w:rsid w:val="4180540D"/>
    <w:rsid w:val="419178DD"/>
    <w:rsid w:val="419E4A5A"/>
    <w:rsid w:val="41C07942"/>
    <w:rsid w:val="41CF117B"/>
    <w:rsid w:val="42004D8B"/>
    <w:rsid w:val="42012D1F"/>
    <w:rsid w:val="421D3256"/>
    <w:rsid w:val="427577E8"/>
    <w:rsid w:val="42A66789"/>
    <w:rsid w:val="43753820"/>
    <w:rsid w:val="43E91DEA"/>
    <w:rsid w:val="441C19BB"/>
    <w:rsid w:val="442D2045"/>
    <w:rsid w:val="44383A38"/>
    <w:rsid w:val="447A2CF3"/>
    <w:rsid w:val="4486123D"/>
    <w:rsid w:val="44D42F5A"/>
    <w:rsid w:val="44E00664"/>
    <w:rsid w:val="45016C59"/>
    <w:rsid w:val="45085629"/>
    <w:rsid w:val="452E7CB7"/>
    <w:rsid w:val="456A4FFE"/>
    <w:rsid w:val="458A46B9"/>
    <w:rsid w:val="45A07203"/>
    <w:rsid w:val="45A83A68"/>
    <w:rsid w:val="45C37825"/>
    <w:rsid w:val="45FD503C"/>
    <w:rsid w:val="460C0163"/>
    <w:rsid w:val="4626563B"/>
    <w:rsid w:val="46355B24"/>
    <w:rsid w:val="46405051"/>
    <w:rsid w:val="46607BE6"/>
    <w:rsid w:val="4677715E"/>
    <w:rsid w:val="468272ED"/>
    <w:rsid w:val="469E409A"/>
    <w:rsid w:val="46C0164B"/>
    <w:rsid w:val="46E7342D"/>
    <w:rsid w:val="474B464F"/>
    <w:rsid w:val="476728A7"/>
    <w:rsid w:val="47A6676F"/>
    <w:rsid w:val="47B15472"/>
    <w:rsid w:val="47BC19DA"/>
    <w:rsid w:val="47BE5890"/>
    <w:rsid w:val="47E92C65"/>
    <w:rsid w:val="48077E22"/>
    <w:rsid w:val="483F080D"/>
    <w:rsid w:val="487C4B2F"/>
    <w:rsid w:val="488B49ED"/>
    <w:rsid w:val="488C0C7F"/>
    <w:rsid w:val="48C3393E"/>
    <w:rsid w:val="48C66071"/>
    <w:rsid w:val="48D95C62"/>
    <w:rsid w:val="48EA09DD"/>
    <w:rsid w:val="48F31B66"/>
    <w:rsid w:val="48FC500B"/>
    <w:rsid w:val="495243F3"/>
    <w:rsid w:val="49C83634"/>
    <w:rsid w:val="49D56577"/>
    <w:rsid w:val="49F150AC"/>
    <w:rsid w:val="4A0E700C"/>
    <w:rsid w:val="4A3365CC"/>
    <w:rsid w:val="4AAB4BD5"/>
    <w:rsid w:val="4AE67AD3"/>
    <w:rsid w:val="4B173727"/>
    <w:rsid w:val="4B34134D"/>
    <w:rsid w:val="4B43519A"/>
    <w:rsid w:val="4B7C1CD5"/>
    <w:rsid w:val="4B8A1930"/>
    <w:rsid w:val="4B8A2094"/>
    <w:rsid w:val="4BA17F9B"/>
    <w:rsid w:val="4BDD00B0"/>
    <w:rsid w:val="4BF2512A"/>
    <w:rsid w:val="4C1600FC"/>
    <w:rsid w:val="4C172E84"/>
    <w:rsid w:val="4C4F350D"/>
    <w:rsid w:val="4C651609"/>
    <w:rsid w:val="4C770F23"/>
    <w:rsid w:val="4C987BEF"/>
    <w:rsid w:val="4CC73A3B"/>
    <w:rsid w:val="4CF245DF"/>
    <w:rsid w:val="4D211995"/>
    <w:rsid w:val="4D3F68AE"/>
    <w:rsid w:val="4D6D6F29"/>
    <w:rsid w:val="4D6E47C2"/>
    <w:rsid w:val="4DA51D21"/>
    <w:rsid w:val="4DA810C4"/>
    <w:rsid w:val="4DA83741"/>
    <w:rsid w:val="4DB44DF8"/>
    <w:rsid w:val="4DB767AB"/>
    <w:rsid w:val="4DD104BC"/>
    <w:rsid w:val="4E297E0F"/>
    <w:rsid w:val="4E4F6C1C"/>
    <w:rsid w:val="4E640A70"/>
    <w:rsid w:val="4E9B3E4C"/>
    <w:rsid w:val="4EB07B1A"/>
    <w:rsid w:val="4EC17BE8"/>
    <w:rsid w:val="4F0D08BB"/>
    <w:rsid w:val="4F52408D"/>
    <w:rsid w:val="4F8520B7"/>
    <w:rsid w:val="50294A6B"/>
    <w:rsid w:val="503D1AC3"/>
    <w:rsid w:val="504959D4"/>
    <w:rsid w:val="508A275A"/>
    <w:rsid w:val="50D422E2"/>
    <w:rsid w:val="50E341E6"/>
    <w:rsid w:val="5111303B"/>
    <w:rsid w:val="511E0185"/>
    <w:rsid w:val="51496252"/>
    <w:rsid w:val="517B5962"/>
    <w:rsid w:val="519F1480"/>
    <w:rsid w:val="51DF53D3"/>
    <w:rsid w:val="521A56BA"/>
    <w:rsid w:val="522529CA"/>
    <w:rsid w:val="522672AF"/>
    <w:rsid w:val="52382373"/>
    <w:rsid w:val="525675C3"/>
    <w:rsid w:val="527302EF"/>
    <w:rsid w:val="52AC24C7"/>
    <w:rsid w:val="52D2701D"/>
    <w:rsid w:val="52D43DDA"/>
    <w:rsid w:val="52D65E60"/>
    <w:rsid w:val="5322179D"/>
    <w:rsid w:val="536958D7"/>
    <w:rsid w:val="53850856"/>
    <w:rsid w:val="548501C3"/>
    <w:rsid w:val="54885C79"/>
    <w:rsid w:val="54FC1017"/>
    <w:rsid w:val="54FC3FBC"/>
    <w:rsid w:val="55163769"/>
    <w:rsid w:val="551A1E83"/>
    <w:rsid w:val="551C71BB"/>
    <w:rsid w:val="555B3D50"/>
    <w:rsid w:val="555F08DF"/>
    <w:rsid w:val="5576195F"/>
    <w:rsid w:val="559358CC"/>
    <w:rsid w:val="55AA7AA5"/>
    <w:rsid w:val="55CC2A06"/>
    <w:rsid w:val="5638657A"/>
    <w:rsid w:val="56981105"/>
    <w:rsid w:val="56B87744"/>
    <w:rsid w:val="56E3397F"/>
    <w:rsid w:val="56E94D96"/>
    <w:rsid w:val="56EC4C21"/>
    <w:rsid w:val="56F05727"/>
    <w:rsid w:val="57207E45"/>
    <w:rsid w:val="578C0FD8"/>
    <w:rsid w:val="579A5ADB"/>
    <w:rsid w:val="57ED7498"/>
    <w:rsid w:val="58314B17"/>
    <w:rsid w:val="58774E7A"/>
    <w:rsid w:val="587F328E"/>
    <w:rsid w:val="588408B5"/>
    <w:rsid w:val="588B06E2"/>
    <w:rsid w:val="58F85EF7"/>
    <w:rsid w:val="595449E3"/>
    <w:rsid w:val="597B1552"/>
    <w:rsid w:val="599F1717"/>
    <w:rsid w:val="5A074AD9"/>
    <w:rsid w:val="5A13311B"/>
    <w:rsid w:val="5A24605B"/>
    <w:rsid w:val="5A4975B0"/>
    <w:rsid w:val="5A4F11ED"/>
    <w:rsid w:val="5AA10229"/>
    <w:rsid w:val="5AB07351"/>
    <w:rsid w:val="5AB70CDC"/>
    <w:rsid w:val="5ABB60C9"/>
    <w:rsid w:val="5ACB6CD1"/>
    <w:rsid w:val="5ACE2CC8"/>
    <w:rsid w:val="5ADD4314"/>
    <w:rsid w:val="5B0A6833"/>
    <w:rsid w:val="5B2E66F7"/>
    <w:rsid w:val="5B776D88"/>
    <w:rsid w:val="5B9D7199"/>
    <w:rsid w:val="5BBE0A03"/>
    <w:rsid w:val="5BDD3988"/>
    <w:rsid w:val="5BE25FE5"/>
    <w:rsid w:val="5BFC0906"/>
    <w:rsid w:val="5C0C0026"/>
    <w:rsid w:val="5C207F11"/>
    <w:rsid w:val="5C5506F2"/>
    <w:rsid w:val="5C73776D"/>
    <w:rsid w:val="5CC130C4"/>
    <w:rsid w:val="5CDB0CEE"/>
    <w:rsid w:val="5CEC33E3"/>
    <w:rsid w:val="5CFA38B7"/>
    <w:rsid w:val="5D312AEE"/>
    <w:rsid w:val="5D525172"/>
    <w:rsid w:val="5D535310"/>
    <w:rsid w:val="5D5C1D49"/>
    <w:rsid w:val="5D7D2793"/>
    <w:rsid w:val="5D80387A"/>
    <w:rsid w:val="5D995E99"/>
    <w:rsid w:val="5DB062E1"/>
    <w:rsid w:val="5DCE43B3"/>
    <w:rsid w:val="5DDD3A46"/>
    <w:rsid w:val="5DEE13C9"/>
    <w:rsid w:val="5E253F46"/>
    <w:rsid w:val="5E3D12E9"/>
    <w:rsid w:val="5E9E13D8"/>
    <w:rsid w:val="5EB86430"/>
    <w:rsid w:val="5EC15985"/>
    <w:rsid w:val="5EE170BB"/>
    <w:rsid w:val="5EF704F5"/>
    <w:rsid w:val="5EF76E05"/>
    <w:rsid w:val="5EFB737B"/>
    <w:rsid w:val="5F0B3DA0"/>
    <w:rsid w:val="5F186197"/>
    <w:rsid w:val="5F1A53F0"/>
    <w:rsid w:val="5F427F2C"/>
    <w:rsid w:val="5F7C3B09"/>
    <w:rsid w:val="5F815294"/>
    <w:rsid w:val="5F873116"/>
    <w:rsid w:val="5F97618E"/>
    <w:rsid w:val="5FA37082"/>
    <w:rsid w:val="5FAF75E7"/>
    <w:rsid w:val="600B005C"/>
    <w:rsid w:val="60565D02"/>
    <w:rsid w:val="60741B63"/>
    <w:rsid w:val="607A3271"/>
    <w:rsid w:val="60827968"/>
    <w:rsid w:val="61271B47"/>
    <w:rsid w:val="61276D3A"/>
    <w:rsid w:val="6133798F"/>
    <w:rsid w:val="6150245B"/>
    <w:rsid w:val="61662F8B"/>
    <w:rsid w:val="6167398B"/>
    <w:rsid w:val="61716D01"/>
    <w:rsid w:val="619505CC"/>
    <w:rsid w:val="61E72071"/>
    <w:rsid w:val="6216329A"/>
    <w:rsid w:val="62352C59"/>
    <w:rsid w:val="623F1A63"/>
    <w:rsid w:val="626E4FB5"/>
    <w:rsid w:val="62944B62"/>
    <w:rsid w:val="62A83554"/>
    <w:rsid w:val="62B8569C"/>
    <w:rsid w:val="62C50F9B"/>
    <w:rsid w:val="62CA7DC0"/>
    <w:rsid w:val="62CE4BDE"/>
    <w:rsid w:val="62E006E9"/>
    <w:rsid w:val="62E4398E"/>
    <w:rsid w:val="632A6117"/>
    <w:rsid w:val="635F7DD5"/>
    <w:rsid w:val="636F5093"/>
    <w:rsid w:val="639030B1"/>
    <w:rsid w:val="63A3215E"/>
    <w:rsid w:val="6448364D"/>
    <w:rsid w:val="645111D2"/>
    <w:rsid w:val="646C21F8"/>
    <w:rsid w:val="647965C2"/>
    <w:rsid w:val="648A60BB"/>
    <w:rsid w:val="64F924C2"/>
    <w:rsid w:val="65977601"/>
    <w:rsid w:val="65AC1743"/>
    <w:rsid w:val="65BB28E0"/>
    <w:rsid w:val="65D56BB3"/>
    <w:rsid w:val="65E963CF"/>
    <w:rsid w:val="65FA2D68"/>
    <w:rsid w:val="66483D0E"/>
    <w:rsid w:val="66582828"/>
    <w:rsid w:val="667148D9"/>
    <w:rsid w:val="66790BDD"/>
    <w:rsid w:val="66C05C57"/>
    <w:rsid w:val="66C75404"/>
    <w:rsid w:val="67001F8B"/>
    <w:rsid w:val="67137978"/>
    <w:rsid w:val="67242AB6"/>
    <w:rsid w:val="67260518"/>
    <w:rsid w:val="67427CD4"/>
    <w:rsid w:val="67547A5A"/>
    <w:rsid w:val="675F50DC"/>
    <w:rsid w:val="67725E40"/>
    <w:rsid w:val="67FF22A5"/>
    <w:rsid w:val="68353EA6"/>
    <w:rsid w:val="6852108A"/>
    <w:rsid w:val="687F0060"/>
    <w:rsid w:val="68856AC0"/>
    <w:rsid w:val="691D7BDC"/>
    <w:rsid w:val="692213E6"/>
    <w:rsid w:val="6955167D"/>
    <w:rsid w:val="696372B1"/>
    <w:rsid w:val="69691BEB"/>
    <w:rsid w:val="699955F5"/>
    <w:rsid w:val="69AF3C47"/>
    <w:rsid w:val="69C30F7A"/>
    <w:rsid w:val="6A026CD8"/>
    <w:rsid w:val="6A397A62"/>
    <w:rsid w:val="6A5C6FA0"/>
    <w:rsid w:val="6A6D50F7"/>
    <w:rsid w:val="6A7F6C5D"/>
    <w:rsid w:val="6A9931B9"/>
    <w:rsid w:val="6A9F263E"/>
    <w:rsid w:val="6AD610A3"/>
    <w:rsid w:val="6B35799D"/>
    <w:rsid w:val="6B6B6060"/>
    <w:rsid w:val="6B7A482E"/>
    <w:rsid w:val="6B7E1AEE"/>
    <w:rsid w:val="6B8251D3"/>
    <w:rsid w:val="6BB11103"/>
    <w:rsid w:val="6BC67E4A"/>
    <w:rsid w:val="6BCD1EC8"/>
    <w:rsid w:val="6BEA0B46"/>
    <w:rsid w:val="6C6F7A04"/>
    <w:rsid w:val="6CB70174"/>
    <w:rsid w:val="6D1700D1"/>
    <w:rsid w:val="6D234D9F"/>
    <w:rsid w:val="6D5A2DC7"/>
    <w:rsid w:val="6D8558D0"/>
    <w:rsid w:val="6D8931E1"/>
    <w:rsid w:val="6DD12639"/>
    <w:rsid w:val="6E293C03"/>
    <w:rsid w:val="6E5C4749"/>
    <w:rsid w:val="6E7019FF"/>
    <w:rsid w:val="6E7D28B0"/>
    <w:rsid w:val="6E837D7E"/>
    <w:rsid w:val="6E882025"/>
    <w:rsid w:val="6EB71753"/>
    <w:rsid w:val="6F1C6515"/>
    <w:rsid w:val="6F1D3B15"/>
    <w:rsid w:val="6F1F03A7"/>
    <w:rsid w:val="6F5167C4"/>
    <w:rsid w:val="6FE57499"/>
    <w:rsid w:val="6FEC32A2"/>
    <w:rsid w:val="6FF3044D"/>
    <w:rsid w:val="70575BDA"/>
    <w:rsid w:val="70866740"/>
    <w:rsid w:val="708A2065"/>
    <w:rsid w:val="709A4CC3"/>
    <w:rsid w:val="70AA08CF"/>
    <w:rsid w:val="70B546B5"/>
    <w:rsid w:val="70C21CF6"/>
    <w:rsid w:val="70CA008E"/>
    <w:rsid w:val="712B6C4C"/>
    <w:rsid w:val="715800C0"/>
    <w:rsid w:val="725E2FD7"/>
    <w:rsid w:val="729C0969"/>
    <w:rsid w:val="72C30E0C"/>
    <w:rsid w:val="72C871D0"/>
    <w:rsid w:val="731A0089"/>
    <w:rsid w:val="732F57C5"/>
    <w:rsid w:val="73A03E51"/>
    <w:rsid w:val="74037DBD"/>
    <w:rsid w:val="74445A40"/>
    <w:rsid w:val="747D30EE"/>
    <w:rsid w:val="74855697"/>
    <w:rsid w:val="749A5150"/>
    <w:rsid w:val="74B66DB0"/>
    <w:rsid w:val="75455E77"/>
    <w:rsid w:val="758812EB"/>
    <w:rsid w:val="75E21304"/>
    <w:rsid w:val="75FA712B"/>
    <w:rsid w:val="75FF79C6"/>
    <w:rsid w:val="76201D6D"/>
    <w:rsid w:val="765273EE"/>
    <w:rsid w:val="767E3C4A"/>
    <w:rsid w:val="768A2F6E"/>
    <w:rsid w:val="76CF2CD9"/>
    <w:rsid w:val="76E42F31"/>
    <w:rsid w:val="777A1503"/>
    <w:rsid w:val="77841703"/>
    <w:rsid w:val="778D5D07"/>
    <w:rsid w:val="77AB07A1"/>
    <w:rsid w:val="77F5664B"/>
    <w:rsid w:val="782F4EA9"/>
    <w:rsid w:val="783656F5"/>
    <w:rsid w:val="784A3B68"/>
    <w:rsid w:val="784E7652"/>
    <w:rsid w:val="788505E9"/>
    <w:rsid w:val="7891411A"/>
    <w:rsid w:val="78C53AE4"/>
    <w:rsid w:val="78D447CA"/>
    <w:rsid w:val="78E016AA"/>
    <w:rsid w:val="79265F2D"/>
    <w:rsid w:val="79282F1E"/>
    <w:rsid w:val="794D76EA"/>
    <w:rsid w:val="79535A0E"/>
    <w:rsid w:val="795E25FB"/>
    <w:rsid w:val="79706BDD"/>
    <w:rsid w:val="797B446B"/>
    <w:rsid w:val="7986217B"/>
    <w:rsid w:val="799B2B9D"/>
    <w:rsid w:val="79B70D2D"/>
    <w:rsid w:val="79E87A07"/>
    <w:rsid w:val="7A0628E6"/>
    <w:rsid w:val="7A1B53C4"/>
    <w:rsid w:val="7A3C75FB"/>
    <w:rsid w:val="7A5344E8"/>
    <w:rsid w:val="7A766628"/>
    <w:rsid w:val="7A855ABB"/>
    <w:rsid w:val="7AA43910"/>
    <w:rsid w:val="7AB10057"/>
    <w:rsid w:val="7ABB03BC"/>
    <w:rsid w:val="7ACC697C"/>
    <w:rsid w:val="7B4562EE"/>
    <w:rsid w:val="7B4A11D8"/>
    <w:rsid w:val="7B4A3C06"/>
    <w:rsid w:val="7B4E6FCC"/>
    <w:rsid w:val="7B936329"/>
    <w:rsid w:val="7BA05A69"/>
    <w:rsid w:val="7BD42B58"/>
    <w:rsid w:val="7BD76F86"/>
    <w:rsid w:val="7BEF4106"/>
    <w:rsid w:val="7BF12DB9"/>
    <w:rsid w:val="7C150CD0"/>
    <w:rsid w:val="7C445906"/>
    <w:rsid w:val="7C5E1052"/>
    <w:rsid w:val="7C6B331B"/>
    <w:rsid w:val="7C782F11"/>
    <w:rsid w:val="7CCD0CDE"/>
    <w:rsid w:val="7CD93328"/>
    <w:rsid w:val="7CE911F4"/>
    <w:rsid w:val="7CED59D0"/>
    <w:rsid w:val="7D025051"/>
    <w:rsid w:val="7D284344"/>
    <w:rsid w:val="7D325AF5"/>
    <w:rsid w:val="7D701D9B"/>
    <w:rsid w:val="7DA11B2A"/>
    <w:rsid w:val="7DAB223E"/>
    <w:rsid w:val="7DCC3B28"/>
    <w:rsid w:val="7DD62CD3"/>
    <w:rsid w:val="7E373284"/>
    <w:rsid w:val="7E4920F2"/>
    <w:rsid w:val="7E94130B"/>
    <w:rsid w:val="7E986450"/>
    <w:rsid w:val="7EA91F77"/>
    <w:rsid w:val="7EBE2C4C"/>
    <w:rsid w:val="7EFB28B3"/>
    <w:rsid w:val="7F055E99"/>
    <w:rsid w:val="7F466BD5"/>
    <w:rsid w:val="7F90492A"/>
    <w:rsid w:val="7FB51F96"/>
    <w:rsid w:val="7FBF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99"/>
    <w:pPr>
      <w:keepNext/>
      <w:keepLines/>
      <w:numPr>
        <w:ilvl w:val="0"/>
        <w:numId w:val="1"/>
      </w:numPr>
      <w:adjustRightInd w:val="0"/>
      <w:spacing w:before="160" w:after="160" w:line="160" w:lineRule="atLeast"/>
      <w:textAlignment w:val="baseline"/>
      <w:outlineLvl w:val="0"/>
    </w:pPr>
    <w:rPr>
      <w:rFonts w:ascii="黑体" w:eastAsia="黑体"/>
      <w:kern w:val="44"/>
      <w:sz w:val="32"/>
      <w:szCs w:val="20"/>
    </w:rPr>
  </w:style>
  <w:style w:type="paragraph" w:styleId="3">
    <w:name w:val="heading 2"/>
    <w:basedOn w:val="1"/>
    <w:next w:val="4"/>
    <w:link w:val="48"/>
    <w:qFormat/>
    <w:uiPriority w:val="99"/>
    <w:pPr>
      <w:keepNext/>
      <w:keepLines/>
      <w:adjustRightInd w:val="0"/>
      <w:spacing w:before="160" w:after="160" w:line="160" w:lineRule="atLeast"/>
      <w:ind w:left="851" w:hanging="425"/>
      <w:textAlignment w:val="baseline"/>
      <w:outlineLvl w:val="1"/>
    </w:pPr>
    <w:rPr>
      <w:rFonts w:ascii="黑体" w:hAnsi="Arial" w:eastAsia="黑体"/>
      <w:kern w:val="0"/>
      <w:sz w:val="28"/>
      <w:szCs w:val="20"/>
    </w:rPr>
  </w:style>
  <w:style w:type="paragraph" w:styleId="5">
    <w:name w:val="heading 3"/>
    <w:basedOn w:val="1"/>
    <w:next w:val="4"/>
    <w:link w:val="49"/>
    <w:qFormat/>
    <w:uiPriority w:val="99"/>
    <w:pPr>
      <w:keepNext/>
      <w:keepLines/>
      <w:numPr>
        <w:ilvl w:val="0"/>
        <w:numId w:val="2"/>
      </w:numPr>
      <w:adjustRightInd w:val="0"/>
      <w:spacing w:before="160" w:after="160" w:line="500" w:lineRule="exact"/>
      <w:textAlignment w:val="baseline"/>
      <w:outlineLvl w:val="2"/>
    </w:pPr>
    <w:rPr>
      <w:rFonts w:ascii="宋体" w:hAnsi="宋体"/>
      <w:b/>
      <w:color w:val="0000FF"/>
      <w:kern w:val="0"/>
      <w:sz w:val="24"/>
    </w:rPr>
  </w:style>
  <w:style w:type="paragraph" w:styleId="6">
    <w:name w:val="heading 4"/>
    <w:basedOn w:val="1"/>
    <w:next w:val="1"/>
    <w:link w:val="50"/>
    <w:qFormat/>
    <w:uiPriority w:val="99"/>
    <w:pPr>
      <w:keepNext/>
      <w:keepLines/>
      <w:adjustRightInd w:val="0"/>
      <w:spacing w:before="280" w:after="290" w:line="376" w:lineRule="atLeast"/>
      <w:ind w:left="1700" w:hanging="425"/>
      <w:textAlignment w:val="baseline"/>
      <w:outlineLvl w:val="3"/>
    </w:pPr>
    <w:rPr>
      <w:rFonts w:ascii="Arial" w:hAnsi="Arial" w:eastAsia="黑体"/>
      <w:b/>
      <w:kern w:val="0"/>
      <w:sz w:val="28"/>
      <w:szCs w:val="20"/>
    </w:rPr>
  </w:style>
  <w:style w:type="paragraph" w:styleId="7">
    <w:name w:val="heading 5"/>
    <w:basedOn w:val="1"/>
    <w:next w:val="1"/>
    <w:link w:val="51"/>
    <w:qFormat/>
    <w:uiPriority w:val="99"/>
    <w:pPr>
      <w:keepNext/>
      <w:keepLines/>
      <w:adjustRightInd w:val="0"/>
      <w:spacing w:before="280" w:after="290" w:line="376" w:lineRule="atLeast"/>
      <w:ind w:left="2125" w:hanging="425"/>
      <w:textAlignment w:val="baseline"/>
      <w:outlineLvl w:val="4"/>
    </w:pPr>
    <w:rPr>
      <w:b/>
      <w:kern w:val="0"/>
      <w:sz w:val="28"/>
      <w:szCs w:val="20"/>
    </w:rPr>
  </w:style>
  <w:style w:type="paragraph" w:styleId="8">
    <w:name w:val="heading 6"/>
    <w:basedOn w:val="1"/>
    <w:next w:val="1"/>
    <w:link w:val="52"/>
    <w:qFormat/>
    <w:uiPriority w:val="99"/>
    <w:pPr>
      <w:keepNext/>
      <w:keepLines/>
      <w:adjustRightInd w:val="0"/>
      <w:spacing w:before="240" w:after="64" w:line="320" w:lineRule="atLeast"/>
      <w:ind w:left="2550" w:hanging="425"/>
      <w:textAlignment w:val="baseline"/>
      <w:outlineLvl w:val="5"/>
    </w:pPr>
    <w:rPr>
      <w:rFonts w:ascii="Arial" w:hAnsi="Arial" w:eastAsia="黑体"/>
      <w:b/>
      <w:kern w:val="0"/>
      <w:sz w:val="24"/>
      <w:szCs w:val="20"/>
    </w:rPr>
  </w:style>
  <w:style w:type="paragraph" w:styleId="9">
    <w:name w:val="heading 7"/>
    <w:basedOn w:val="1"/>
    <w:next w:val="1"/>
    <w:link w:val="53"/>
    <w:qFormat/>
    <w:uiPriority w:val="99"/>
    <w:pPr>
      <w:keepNext/>
      <w:keepLines/>
      <w:adjustRightInd w:val="0"/>
      <w:spacing w:before="240" w:after="64" w:line="320" w:lineRule="atLeast"/>
      <w:ind w:left="2975" w:hanging="425"/>
      <w:textAlignment w:val="baseline"/>
      <w:outlineLvl w:val="6"/>
    </w:pPr>
    <w:rPr>
      <w:b/>
      <w:kern w:val="0"/>
      <w:sz w:val="24"/>
      <w:szCs w:val="20"/>
    </w:rPr>
  </w:style>
  <w:style w:type="paragraph" w:styleId="10">
    <w:name w:val="heading 8"/>
    <w:basedOn w:val="1"/>
    <w:next w:val="1"/>
    <w:link w:val="54"/>
    <w:qFormat/>
    <w:uiPriority w:val="99"/>
    <w:pPr>
      <w:keepNext/>
      <w:keepLines/>
      <w:adjustRightInd w:val="0"/>
      <w:spacing w:before="240" w:after="64" w:line="320" w:lineRule="atLeast"/>
      <w:ind w:left="3400" w:hanging="425"/>
      <w:textAlignment w:val="baseline"/>
      <w:outlineLvl w:val="7"/>
    </w:pPr>
    <w:rPr>
      <w:rFonts w:ascii="Arial" w:hAnsi="Arial" w:eastAsia="黑体"/>
      <w:kern w:val="0"/>
      <w:sz w:val="24"/>
      <w:szCs w:val="20"/>
    </w:rPr>
  </w:style>
  <w:style w:type="paragraph" w:styleId="11">
    <w:name w:val="heading 9"/>
    <w:basedOn w:val="1"/>
    <w:next w:val="1"/>
    <w:link w:val="55"/>
    <w:qFormat/>
    <w:uiPriority w:val="99"/>
    <w:pPr>
      <w:keepNext/>
      <w:keepLines/>
      <w:adjustRightInd w:val="0"/>
      <w:spacing w:before="240" w:after="64" w:line="320" w:lineRule="atLeast"/>
      <w:ind w:left="3825" w:hanging="425"/>
      <w:textAlignment w:val="baseline"/>
      <w:outlineLvl w:val="8"/>
    </w:pPr>
    <w:rPr>
      <w:rFonts w:ascii="Arial" w:hAnsi="Arial" w:eastAsia="黑体"/>
      <w:kern w:val="0"/>
      <w:szCs w:val="20"/>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4">
    <w:name w:val="文档正文"/>
    <w:basedOn w:val="1"/>
    <w:qFormat/>
    <w:uiPriority w:val="99"/>
    <w:pPr>
      <w:adjustRightInd w:val="0"/>
      <w:spacing w:line="480" w:lineRule="atLeast"/>
      <w:ind w:firstLine="567"/>
      <w:textAlignment w:val="baseline"/>
    </w:pPr>
    <w:rPr>
      <w:rFonts w:ascii="仿宋_GB2312" w:eastAsia="仿宋_GB2312"/>
      <w:kern w:val="0"/>
      <w:sz w:val="28"/>
      <w:szCs w:val="20"/>
    </w:rPr>
  </w:style>
  <w:style w:type="paragraph" w:styleId="12">
    <w:name w:val="List 3"/>
    <w:basedOn w:val="1"/>
    <w:qFormat/>
    <w:uiPriority w:val="99"/>
    <w:pPr>
      <w:ind w:left="100" w:leftChars="400" w:hanging="200" w:hangingChars="200"/>
    </w:pPr>
    <w:rPr>
      <w:rFonts w:eastAsia="仿宋_GB2312"/>
      <w:kern w:val="0"/>
      <w:sz w:val="32"/>
      <w:szCs w:val="20"/>
    </w:rPr>
  </w:style>
  <w:style w:type="paragraph" w:styleId="13">
    <w:name w:val="toc 7"/>
    <w:basedOn w:val="1"/>
    <w:next w:val="1"/>
    <w:qFormat/>
    <w:uiPriority w:val="99"/>
    <w:pPr>
      <w:ind w:left="1260"/>
      <w:jc w:val="left"/>
    </w:pPr>
    <w:rPr>
      <w:sz w:val="18"/>
      <w:szCs w:val="18"/>
    </w:rPr>
  </w:style>
  <w:style w:type="paragraph" w:styleId="14">
    <w:name w:val="Document Map"/>
    <w:basedOn w:val="1"/>
    <w:link w:val="56"/>
    <w:qFormat/>
    <w:uiPriority w:val="99"/>
    <w:pPr>
      <w:shd w:val="clear" w:color="auto" w:fill="000080"/>
    </w:pPr>
    <w:rPr>
      <w:rFonts w:ascii="宋体"/>
      <w:kern w:val="0"/>
      <w:sz w:val="18"/>
      <w:szCs w:val="18"/>
    </w:rPr>
  </w:style>
  <w:style w:type="paragraph" w:styleId="15">
    <w:name w:val="annotation text"/>
    <w:basedOn w:val="1"/>
    <w:link w:val="57"/>
    <w:qFormat/>
    <w:uiPriority w:val="99"/>
    <w:pPr>
      <w:jc w:val="left"/>
    </w:pPr>
    <w:rPr>
      <w:kern w:val="0"/>
      <w:sz w:val="24"/>
    </w:rPr>
  </w:style>
  <w:style w:type="paragraph" w:styleId="16">
    <w:name w:val="Body Text"/>
    <w:basedOn w:val="1"/>
    <w:link w:val="58"/>
    <w:qFormat/>
    <w:uiPriority w:val="99"/>
    <w:pPr>
      <w:spacing w:after="120"/>
    </w:pPr>
    <w:rPr>
      <w:kern w:val="0"/>
      <w:sz w:val="24"/>
    </w:rPr>
  </w:style>
  <w:style w:type="paragraph" w:styleId="17">
    <w:name w:val="Body Text Indent"/>
    <w:basedOn w:val="1"/>
    <w:link w:val="59"/>
    <w:qFormat/>
    <w:uiPriority w:val="99"/>
    <w:pPr>
      <w:tabs>
        <w:tab w:val="left" w:pos="945"/>
        <w:tab w:val="left" w:pos="1155"/>
      </w:tabs>
      <w:ind w:firstLine="435"/>
    </w:pPr>
    <w:rPr>
      <w:kern w:val="0"/>
      <w:sz w:val="24"/>
    </w:rPr>
  </w:style>
  <w:style w:type="paragraph" w:styleId="18">
    <w:name w:val="List 2"/>
    <w:basedOn w:val="1"/>
    <w:qFormat/>
    <w:uiPriority w:val="99"/>
    <w:pPr>
      <w:autoSpaceDE w:val="0"/>
      <w:autoSpaceDN w:val="0"/>
      <w:adjustRightInd w:val="0"/>
      <w:ind w:left="840" w:hanging="420"/>
      <w:jc w:val="left"/>
    </w:pPr>
    <w:rPr>
      <w:rFonts w:ascii="宋体"/>
      <w:kern w:val="0"/>
      <w:sz w:val="20"/>
      <w:szCs w:val="20"/>
    </w:rPr>
  </w:style>
  <w:style w:type="paragraph" w:styleId="19">
    <w:name w:val="toc 5"/>
    <w:basedOn w:val="1"/>
    <w:next w:val="1"/>
    <w:qFormat/>
    <w:uiPriority w:val="99"/>
    <w:pPr>
      <w:ind w:left="840"/>
      <w:jc w:val="left"/>
    </w:pPr>
    <w:rPr>
      <w:sz w:val="18"/>
      <w:szCs w:val="18"/>
    </w:rPr>
  </w:style>
  <w:style w:type="paragraph" w:styleId="20">
    <w:name w:val="toc 3"/>
    <w:basedOn w:val="1"/>
    <w:next w:val="1"/>
    <w:qFormat/>
    <w:uiPriority w:val="99"/>
    <w:pPr>
      <w:ind w:left="420"/>
      <w:jc w:val="left"/>
    </w:pPr>
    <w:rPr>
      <w:i/>
      <w:iCs/>
      <w:sz w:val="20"/>
      <w:szCs w:val="20"/>
    </w:rPr>
  </w:style>
  <w:style w:type="paragraph" w:styleId="21">
    <w:name w:val="Plain Text"/>
    <w:basedOn w:val="1"/>
    <w:link w:val="60"/>
    <w:qFormat/>
    <w:uiPriority w:val="99"/>
    <w:rPr>
      <w:rFonts w:ascii="宋体" w:hAnsi="Courier New"/>
      <w:kern w:val="0"/>
      <w:szCs w:val="21"/>
    </w:rPr>
  </w:style>
  <w:style w:type="paragraph" w:styleId="22">
    <w:name w:val="toc 8"/>
    <w:basedOn w:val="1"/>
    <w:next w:val="1"/>
    <w:qFormat/>
    <w:uiPriority w:val="99"/>
    <w:pPr>
      <w:ind w:left="1470"/>
      <w:jc w:val="left"/>
    </w:pPr>
    <w:rPr>
      <w:sz w:val="18"/>
      <w:szCs w:val="18"/>
    </w:rPr>
  </w:style>
  <w:style w:type="paragraph" w:styleId="23">
    <w:name w:val="Date"/>
    <w:basedOn w:val="1"/>
    <w:next w:val="1"/>
    <w:link w:val="61"/>
    <w:qFormat/>
    <w:uiPriority w:val="99"/>
    <w:rPr>
      <w:kern w:val="0"/>
      <w:sz w:val="24"/>
    </w:rPr>
  </w:style>
  <w:style w:type="paragraph" w:styleId="24">
    <w:name w:val="Body Text Indent 2"/>
    <w:basedOn w:val="1"/>
    <w:link w:val="62"/>
    <w:qFormat/>
    <w:uiPriority w:val="99"/>
    <w:pPr>
      <w:ind w:firstLine="630"/>
    </w:pPr>
    <w:rPr>
      <w:kern w:val="0"/>
      <w:sz w:val="24"/>
    </w:rPr>
  </w:style>
  <w:style w:type="paragraph" w:styleId="25">
    <w:name w:val="Balloon Text"/>
    <w:basedOn w:val="1"/>
    <w:link w:val="63"/>
    <w:qFormat/>
    <w:uiPriority w:val="99"/>
    <w:rPr>
      <w:kern w:val="0"/>
      <w:sz w:val="18"/>
      <w:szCs w:val="18"/>
    </w:rPr>
  </w:style>
  <w:style w:type="paragraph" w:styleId="26">
    <w:name w:val="footer"/>
    <w:basedOn w:val="1"/>
    <w:link w:val="64"/>
    <w:qFormat/>
    <w:uiPriority w:val="99"/>
    <w:pPr>
      <w:tabs>
        <w:tab w:val="center" w:pos="4153"/>
        <w:tab w:val="right" w:pos="8306"/>
      </w:tabs>
      <w:snapToGrid w:val="0"/>
      <w:jc w:val="left"/>
    </w:pPr>
    <w:rPr>
      <w:kern w:val="0"/>
      <w:sz w:val="18"/>
      <w:szCs w:val="18"/>
    </w:rPr>
  </w:style>
  <w:style w:type="paragraph" w:styleId="27">
    <w:name w:val="header"/>
    <w:basedOn w:val="1"/>
    <w:link w:val="65"/>
    <w:qFormat/>
    <w:uiPriority w:val="99"/>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99"/>
    <w:pPr>
      <w:spacing w:before="120" w:after="120"/>
      <w:jc w:val="left"/>
    </w:pPr>
    <w:rPr>
      <w:b/>
      <w:bCs/>
      <w:caps/>
      <w:sz w:val="20"/>
      <w:szCs w:val="20"/>
    </w:rPr>
  </w:style>
  <w:style w:type="paragraph" w:styleId="29">
    <w:name w:val="toc 4"/>
    <w:basedOn w:val="1"/>
    <w:next w:val="1"/>
    <w:qFormat/>
    <w:uiPriority w:val="99"/>
    <w:pPr>
      <w:ind w:left="630"/>
      <w:jc w:val="left"/>
    </w:pPr>
    <w:rPr>
      <w:sz w:val="18"/>
      <w:szCs w:val="18"/>
    </w:rPr>
  </w:style>
  <w:style w:type="paragraph" w:styleId="30">
    <w:name w:val="toc 6"/>
    <w:basedOn w:val="1"/>
    <w:next w:val="1"/>
    <w:qFormat/>
    <w:uiPriority w:val="99"/>
    <w:pPr>
      <w:ind w:left="1050"/>
      <w:jc w:val="left"/>
    </w:pPr>
    <w:rPr>
      <w:sz w:val="18"/>
      <w:szCs w:val="18"/>
    </w:rPr>
  </w:style>
  <w:style w:type="paragraph" w:styleId="31">
    <w:name w:val="Body Text Indent 3"/>
    <w:basedOn w:val="1"/>
    <w:link w:val="66"/>
    <w:qFormat/>
    <w:uiPriority w:val="99"/>
    <w:pPr>
      <w:spacing w:line="400" w:lineRule="exact"/>
      <w:ind w:firstLine="480" w:firstLineChars="200"/>
    </w:pPr>
    <w:rPr>
      <w:kern w:val="0"/>
      <w:sz w:val="16"/>
      <w:szCs w:val="16"/>
    </w:rPr>
  </w:style>
  <w:style w:type="paragraph" w:styleId="32">
    <w:name w:val="toc 2"/>
    <w:basedOn w:val="1"/>
    <w:next w:val="1"/>
    <w:qFormat/>
    <w:uiPriority w:val="99"/>
    <w:pPr>
      <w:ind w:left="210"/>
      <w:jc w:val="left"/>
    </w:pPr>
    <w:rPr>
      <w:smallCaps/>
      <w:sz w:val="20"/>
      <w:szCs w:val="20"/>
    </w:rPr>
  </w:style>
  <w:style w:type="paragraph" w:styleId="33">
    <w:name w:val="toc 9"/>
    <w:basedOn w:val="1"/>
    <w:next w:val="1"/>
    <w:qFormat/>
    <w:uiPriority w:val="99"/>
    <w:pPr>
      <w:ind w:left="1680"/>
      <w:jc w:val="left"/>
    </w:pPr>
    <w:rPr>
      <w:sz w:val="18"/>
      <w:szCs w:val="18"/>
    </w:rPr>
  </w:style>
  <w:style w:type="paragraph" w:styleId="34">
    <w:name w:val="Body Text 2"/>
    <w:basedOn w:val="1"/>
    <w:link w:val="67"/>
    <w:qFormat/>
    <w:uiPriority w:val="99"/>
    <w:pPr>
      <w:adjustRightInd w:val="0"/>
      <w:ind w:firstLine="570"/>
    </w:pPr>
    <w:rPr>
      <w:kern w:val="0"/>
      <w:sz w:val="24"/>
    </w:rPr>
  </w:style>
  <w:style w:type="paragraph" w:styleId="35">
    <w:name w:val="List 4"/>
    <w:basedOn w:val="1"/>
    <w:qFormat/>
    <w:uiPriority w:val="99"/>
    <w:pPr>
      <w:ind w:left="1680" w:hanging="420"/>
    </w:pPr>
    <w:rPr>
      <w:rFonts w:eastAsia="楷体_GB2312"/>
      <w:sz w:val="32"/>
      <w:szCs w:val="20"/>
    </w:rPr>
  </w:style>
  <w:style w:type="paragraph" w:styleId="36">
    <w:name w:val="HTML Preformatted"/>
    <w:basedOn w:val="1"/>
    <w:link w:val="6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37">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rPr>
  </w:style>
  <w:style w:type="paragraph" w:styleId="38">
    <w:name w:val="annotation subject"/>
    <w:basedOn w:val="15"/>
    <w:next w:val="15"/>
    <w:link w:val="69"/>
    <w:qFormat/>
    <w:uiPriority w:val="99"/>
    <w:rPr>
      <w:b/>
      <w:bCs/>
    </w:rPr>
  </w:style>
  <w:style w:type="paragraph" w:styleId="39">
    <w:name w:val="Body Text First Indent"/>
    <w:basedOn w:val="16"/>
    <w:link w:val="70"/>
    <w:qFormat/>
    <w:uiPriority w:val="99"/>
    <w:pPr>
      <w:ind w:firstLine="420" w:firstLineChars="100"/>
    </w:pPr>
  </w:style>
  <w:style w:type="paragraph" w:styleId="40">
    <w:name w:val="Body Text First Indent 2"/>
    <w:basedOn w:val="17"/>
    <w:link w:val="71"/>
    <w:qFormat/>
    <w:uiPriority w:val="99"/>
    <w:pPr>
      <w:tabs>
        <w:tab w:val="clear" w:pos="945"/>
        <w:tab w:val="clear" w:pos="1155"/>
      </w:tabs>
      <w:autoSpaceDE w:val="0"/>
      <w:autoSpaceDN w:val="0"/>
      <w:adjustRightInd w:val="0"/>
      <w:spacing w:after="120"/>
      <w:ind w:left="420" w:firstLine="210"/>
      <w:jc w:val="left"/>
    </w:pPr>
  </w:style>
  <w:style w:type="table" w:styleId="42">
    <w:name w:val="Table Grid"/>
    <w:basedOn w:val="41"/>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qFormat/>
    <w:uiPriority w:val="99"/>
    <w:rPr>
      <w:rFonts w:cs="Times New Roman"/>
    </w:rPr>
  </w:style>
  <w:style w:type="character" w:styleId="45">
    <w:name w:val="Hyperlink"/>
    <w:qFormat/>
    <w:uiPriority w:val="99"/>
    <w:rPr>
      <w:rFonts w:cs="Times New Roman"/>
      <w:color w:val="0000FF"/>
      <w:u w:val="single"/>
    </w:rPr>
  </w:style>
  <w:style w:type="character" w:styleId="46">
    <w:name w:val="annotation reference"/>
    <w:qFormat/>
    <w:uiPriority w:val="99"/>
    <w:rPr>
      <w:rFonts w:cs="Times New Roman"/>
      <w:sz w:val="21"/>
    </w:rPr>
  </w:style>
  <w:style w:type="character" w:customStyle="1" w:styleId="47">
    <w:name w:val="标题 1 字符"/>
    <w:link w:val="2"/>
    <w:qFormat/>
    <w:locked/>
    <w:uiPriority w:val="99"/>
    <w:rPr>
      <w:rFonts w:ascii="黑体" w:eastAsia="黑体"/>
      <w:kern w:val="44"/>
      <w:sz w:val="32"/>
    </w:rPr>
  </w:style>
  <w:style w:type="character" w:customStyle="1" w:styleId="48">
    <w:name w:val="标题 2 字符"/>
    <w:link w:val="3"/>
    <w:qFormat/>
    <w:locked/>
    <w:uiPriority w:val="99"/>
    <w:rPr>
      <w:rFonts w:ascii="黑体" w:hAnsi="Arial" w:eastAsia="黑体" w:cs="Times New Roman"/>
      <w:sz w:val="28"/>
    </w:rPr>
  </w:style>
  <w:style w:type="character" w:customStyle="1" w:styleId="49">
    <w:name w:val="标题 3 字符"/>
    <w:link w:val="5"/>
    <w:qFormat/>
    <w:locked/>
    <w:uiPriority w:val="99"/>
    <w:rPr>
      <w:rFonts w:ascii="宋体" w:hAnsi="宋体"/>
      <w:b/>
      <w:color w:val="0000FF"/>
      <w:kern w:val="0"/>
      <w:sz w:val="24"/>
      <w:szCs w:val="24"/>
    </w:rPr>
  </w:style>
  <w:style w:type="character" w:customStyle="1" w:styleId="50">
    <w:name w:val="标题 4 字符"/>
    <w:link w:val="6"/>
    <w:qFormat/>
    <w:locked/>
    <w:uiPriority w:val="99"/>
    <w:rPr>
      <w:rFonts w:ascii="Arial" w:hAnsi="Arial" w:eastAsia="黑体" w:cs="Times New Roman"/>
      <w:b/>
      <w:sz w:val="28"/>
    </w:rPr>
  </w:style>
  <w:style w:type="character" w:customStyle="1" w:styleId="51">
    <w:name w:val="标题 5 字符"/>
    <w:link w:val="7"/>
    <w:qFormat/>
    <w:locked/>
    <w:uiPriority w:val="99"/>
    <w:rPr>
      <w:rFonts w:cs="Times New Roman"/>
      <w:b/>
      <w:sz w:val="28"/>
    </w:rPr>
  </w:style>
  <w:style w:type="character" w:customStyle="1" w:styleId="52">
    <w:name w:val="标题 6 字符"/>
    <w:link w:val="8"/>
    <w:qFormat/>
    <w:locked/>
    <w:uiPriority w:val="99"/>
    <w:rPr>
      <w:rFonts w:ascii="Arial" w:hAnsi="Arial" w:eastAsia="黑体" w:cs="Times New Roman"/>
      <w:b/>
      <w:sz w:val="24"/>
    </w:rPr>
  </w:style>
  <w:style w:type="character" w:customStyle="1" w:styleId="53">
    <w:name w:val="标题 7 字符"/>
    <w:link w:val="9"/>
    <w:qFormat/>
    <w:locked/>
    <w:uiPriority w:val="99"/>
    <w:rPr>
      <w:rFonts w:cs="Times New Roman"/>
      <w:b/>
      <w:sz w:val="24"/>
    </w:rPr>
  </w:style>
  <w:style w:type="character" w:customStyle="1" w:styleId="54">
    <w:name w:val="标题 8 字符"/>
    <w:link w:val="10"/>
    <w:qFormat/>
    <w:locked/>
    <w:uiPriority w:val="99"/>
    <w:rPr>
      <w:rFonts w:ascii="Arial" w:hAnsi="Arial" w:eastAsia="黑体" w:cs="Times New Roman"/>
      <w:sz w:val="24"/>
    </w:rPr>
  </w:style>
  <w:style w:type="character" w:customStyle="1" w:styleId="55">
    <w:name w:val="标题 9 字符"/>
    <w:link w:val="11"/>
    <w:qFormat/>
    <w:locked/>
    <w:uiPriority w:val="99"/>
    <w:rPr>
      <w:rFonts w:ascii="Arial" w:hAnsi="Arial" w:eastAsia="黑体" w:cs="Times New Roman"/>
      <w:sz w:val="21"/>
    </w:rPr>
  </w:style>
  <w:style w:type="character" w:customStyle="1" w:styleId="56">
    <w:name w:val="文档结构图 字符"/>
    <w:link w:val="14"/>
    <w:semiHidden/>
    <w:qFormat/>
    <w:locked/>
    <w:uiPriority w:val="99"/>
    <w:rPr>
      <w:rFonts w:ascii="宋体" w:cs="Times New Roman"/>
      <w:sz w:val="18"/>
      <w:szCs w:val="18"/>
    </w:rPr>
  </w:style>
  <w:style w:type="character" w:customStyle="1" w:styleId="57">
    <w:name w:val="批注文字 字符"/>
    <w:link w:val="15"/>
    <w:semiHidden/>
    <w:qFormat/>
    <w:locked/>
    <w:uiPriority w:val="99"/>
    <w:rPr>
      <w:rFonts w:cs="Times New Roman"/>
      <w:sz w:val="24"/>
      <w:szCs w:val="24"/>
    </w:rPr>
  </w:style>
  <w:style w:type="character" w:customStyle="1" w:styleId="58">
    <w:name w:val="正文文本 字符"/>
    <w:link w:val="16"/>
    <w:semiHidden/>
    <w:qFormat/>
    <w:locked/>
    <w:uiPriority w:val="99"/>
    <w:rPr>
      <w:rFonts w:cs="Times New Roman"/>
      <w:sz w:val="24"/>
      <w:szCs w:val="24"/>
    </w:rPr>
  </w:style>
  <w:style w:type="character" w:customStyle="1" w:styleId="59">
    <w:name w:val="正文文本缩进 字符"/>
    <w:link w:val="17"/>
    <w:semiHidden/>
    <w:qFormat/>
    <w:locked/>
    <w:uiPriority w:val="99"/>
    <w:rPr>
      <w:rFonts w:cs="Times New Roman"/>
      <w:sz w:val="24"/>
      <w:szCs w:val="24"/>
    </w:rPr>
  </w:style>
  <w:style w:type="character" w:customStyle="1" w:styleId="60">
    <w:name w:val="纯文本 字符"/>
    <w:link w:val="21"/>
    <w:semiHidden/>
    <w:qFormat/>
    <w:locked/>
    <w:uiPriority w:val="99"/>
    <w:rPr>
      <w:rFonts w:ascii="宋体" w:hAnsi="Courier New" w:cs="Courier New"/>
      <w:sz w:val="21"/>
      <w:szCs w:val="21"/>
    </w:rPr>
  </w:style>
  <w:style w:type="character" w:customStyle="1" w:styleId="61">
    <w:name w:val="日期 字符"/>
    <w:link w:val="23"/>
    <w:semiHidden/>
    <w:qFormat/>
    <w:locked/>
    <w:uiPriority w:val="99"/>
    <w:rPr>
      <w:rFonts w:cs="Times New Roman"/>
      <w:sz w:val="24"/>
      <w:szCs w:val="24"/>
    </w:rPr>
  </w:style>
  <w:style w:type="character" w:customStyle="1" w:styleId="62">
    <w:name w:val="正文文本缩进 2 字符"/>
    <w:link w:val="24"/>
    <w:semiHidden/>
    <w:qFormat/>
    <w:locked/>
    <w:uiPriority w:val="99"/>
    <w:rPr>
      <w:rFonts w:cs="Times New Roman"/>
      <w:sz w:val="24"/>
      <w:szCs w:val="24"/>
    </w:rPr>
  </w:style>
  <w:style w:type="character" w:customStyle="1" w:styleId="63">
    <w:name w:val="批注框文本 字符"/>
    <w:link w:val="25"/>
    <w:semiHidden/>
    <w:qFormat/>
    <w:locked/>
    <w:uiPriority w:val="99"/>
    <w:rPr>
      <w:rFonts w:cs="Times New Roman"/>
      <w:sz w:val="18"/>
      <w:szCs w:val="18"/>
    </w:rPr>
  </w:style>
  <w:style w:type="character" w:customStyle="1" w:styleId="64">
    <w:name w:val="页脚 字符"/>
    <w:link w:val="26"/>
    <w:semiHidden/>
    <w:qFormat/>
    <w:locked/>
    <w:uiPriority w:val="99"/>
    <w:rPr>
      <w:rFonts w:cs="Times New Roman"/>
      <w:sz w:val="18"/>
      <w:szCs w:val="18"/>
    </w:rPr>
  </w:style>
  <w:style w:type="character" w:customStyle="1" w:styleId="65">
    <w:name w:val="页眉 字符"/>
    <w:link w:val="27"/>
    <w:semiHidden/>
    <w:qFormat/>
    <w:locked/>
    <w:uiPriority w:val="99"/>
    <w:rPr>
      <w:rFonts w:cs="Times New Roman"/>
      <w:sz w:val="18"/>
      <w:szCs w:val="18"/>
    </w:rPr>
  </w:style>
  <w:style w:type="character" w:customStyle="1" w:styleId="66">
    <w:name w:val="正文文本缩进 3 字符"/>
    <w:link w:val="31"/>
    <w:semiHidden/>
    <w:qFormat/>
    <w:locked/>
    <w:uiPriority w:val="99"/>
    <w:rPr>
      <w:rFonts w:cs="Times New Roman"/>
      <w:sz w:val="16"/>
      <w:szCs w:val="16"/>
    </w:rPr>
  </w:style>
  <w:style w:type="character" w:customStyle="1" w:styleId="67">
    <w:name w:val="正文文本 2 字符"/>
    <w:link w:val="34"/>
    <w:semiHidden/>
    <w:qFormat/>
    <w:locked/>
    <w:uiPriority w:val="99"/>
    <w:rPr>
      <w:rFonts w:cs="Times New Roman"/>
      <w:sz w:val="24"/>
      <w:szCs w:val="24"/>
    </w:rPr>
  </w:style>
  <w:style w:type="character" w:customStyle="1" w:styleId="68">
    <w:name w:val="HTML 预设格式 字符"/>
    <w:link w:val="36"/>
    <w:semiHidden/>
    <w:qFormat/>
    <w:locked/>
    <w:uiPriority w:val="99"/>
    <w:rPr>
      <w:rFonts w:ascii="Courier New" w:hAnsi="Courier New" w:cs="Courier New"/>
      <w:sz w:val="20"/>
      <w:szCs w:val="20"/>
    </w:rPr>
  </w:style>
  <w:style w:type="character" w:customStyle="1" w:styleId="69">
    <w:name w:val="批注主题 字符"/>
    <w:link w:val="38"/>
    <w:semiHidden/>
    <w:qFormat/>
    <w:locked/>
    <w:uiPriority w:val="99"/>
    <w:rPr>
      <w:rFonts w:cs="Times New Roman"/>
      <w:b/>
      <w:bCs/>
      <w:sz w:val="24"/>
      <w:szCs w:val="24"/>
    </w:rPr>
  </w:style>
  <w:style w:type="character" w:customStyle="1" w:styleId="70">
    <w:name w:val="正文文本首行缩进 字符"/>
    <w:link w:val="39"/>
    <w:semiHidden/>
    <w:qFormat/>
    <w:locked/>
    <w:uiPriority w:val="99"/>
    <w:rPr>
      <w:rFonts w:cs="Times New Roman"/>
      <w:sz w:val="24"/>
      <w:szCs w:val="24"/>
    </w:rPr>
  </w:style>
  <w:style w:type="character" w:customStyle="1" w:styleId="71">
    <w:name w:val="正文文本首行缩进 2 字符"/>
    <w:link w:val="40"/>
    <w:semiHidden/>
    <w:qFormat/>
    <w:locked/>
    <w:uiPriority w:val="99"/>
    <w:rPr>
      <w:rFonts w:cs="Times New Roman"/>
      <w:sz w:val="24"/>
      <w:szCs w:val="24"/>
    </w:rPr>
  </w:style>
  <w:style w:type="paragraph" w:customStyle="1" w:styleId="72">
    <w:name w:val="正式文本"/>
    <w:basedOn w:val="1"/>
    <w:qFormat/>
    <w:uiPriority w:val="99"/>
    <w:pPr>
      <w:spacing w:line="500" w:lineRule="exact"/>
      <w:ind w:firstLine="200" w:firstLineChars="200"/>
    </w:pPr>
    <w:rPr>
      <w:rFonts w:ascii="Arial Narrow" w:hAnsi="Arial Narrow" w:eastAsia="汉鼎简书宋"/>
      <w:sz w:val="24"/>
    </w:rPr>
  </w:style>
  <w:style w:type="character" w:customStyle="1" w:styleId="73">
    <w:name w:val="textcontents"/>
    <w:qFormat/>
    <w:uiPriority w:val="99"/>
    <w:rPr>
      <w:rFonts w:cs="Times New Roman"/>
    </w:rPr>
  </w:style>
  <w:style w:type="character" w:customStyle="1" w:styleId="74">
    <w:name w:val="apple-style-span"/>
    <w:qFormat/>
    <w:uiPriority w:val="99"/>
    <w:rPr>
      <w:rFonts w:cs="Times New Roman"/>
    </w:rPr>
  </w:style>
  <w:style w:type="character" w:customStyle="1" w:styleId="75">
    <w:name w:val="纯文本 Char1"/>
    <w:semiHidden/>
    <w:qFormat/>
    <w:uiPriority w:val="99"/>
    <w:rPr>
      <w:rFonts w:ascii="宋体" w:hAnsi="Courier New" w:eastAsia="宋体"/>
      <w:sz w:val="21"/>
    </w:rPr>
  </w:style>
  <w:style w:type="paragraph" w:customStyle="1" w:styleId="76">
    <w:name w:val="1 Char"/>
    <w:basedOn w:val="1"/>
    <w:qFormat/>
    <w:uiPriority w:val="99"/>
    <w:rPr>
      <w:rFonts w:ascii="Tahoma" w:hAnsi="Tahoma"/>
      <w:sz w:val="24"/>
      <w:szCs w:val="20"/>
    </w:rPr>
  </w:style>
  <w:style w:type="character" w:customStyle="1" w:styleId="77">
    <w:name w:val="无间隔 字符"/>
    <w:link w:val="78"/>
    <w:qFormat/>
    <w:locked/>
    <w:uiPriority w:val="99"/>
    <w:rPr>
      <w:rFonts w:ascii="Calibri" w:hAnsi="Calibri"/>
      <w:sz w:val="22"/>
      <w:szCs w:val="22"/>
      <w:lang w:val="en-US" w:eastAsia="zh-CN" w:bidi="ar-SA"/>
    </w:rPr>
  </w:style>
  <w:style w:type="paragraph" w:styleId="78">
    <w:name w:val="No Spacing"/>
    <w:link w:val="77"/>
    <w:qFormat/>
    <w:uiPriority w:val="99"/>
    <w:rPr>
      <w:rFonts w:ascii="Calibri" w:hAnsi="Calibri" w:eastAsia="宋体" w:cs="Times New Roman"/>
      <w:sz w:val="22"/>
      <w:szCs w:val="22"/>
      <w:lang w:val="en-US" w:eastAsia="zh-CN" w:bidi="ar-SA"/>
    </w:rPr>
  </w:style>
  <w:style w:type="paragraph" w:customStyle="1" w:styleId="79">
    <w:name w:val="Char1"/>
    <w:basedOn w:val="1"/>
    <w:qFormat/>
    <w:uiPriority w:val="99"/>
    <w:pPr>
      <w:widowControl/>
      <w:spacing w:after="160" w:line="240" w:lineRule="exact"/>
      <w:jc w:val="left"/>
    </w:pPr>
    <w:rPr>
      <w:rFonts w:ascii="宋体" w:hAnsi="宋体"/>
      <w:kern w:val="0"/>
      <w:sz w:val="20"/>
      <w:szCs w:val="20"/>
      <w:lang w:eastAsia="en-US"/>
    </w:rPr>
  </w:style>
  <w:style w:type="paragraph" w:customStyle="1" w:styleId="80">
    <w:name w:val="xl26"/>
    <w:basedOn w:val="1"/>
    <w:qFormat/>
    <w:uiPriority w:val="99"/>
    <w:pPr>
      <w:widowControl/>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81">
    <w:name w:val="封面标准名称"/>
    <w:qFormat/>
    <w:uiPriority w:val="99"/>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正文 New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3">
    <w:name w:val="一级标题a"/>
    <w:basedOn w:val="1"/>
    <w:next w:val="1"/>
    <w:qFormat/>
    <w:uiPriority w:val="99"/>
    <w:pPr>
      <w:spacing w:line="400" w:lineRule="atLeast"/>
      <w:ind w:firstLine="200" w:firstLineChars="200"/>
      <w:jc w:val="center"/>
      <w:outlineLvl w:val="0"/>
    </w:pPr>
    <w:rPr>
      <w:rFonts w:ascii="宋体" w:hAnsi="宋体"/>
      <w:b/>
      <w:sz w:val="44"/>
      <w:szCs w:val="20"/>
    </w:rPr>
  </w:style>
  <w:style w:type="paragraph" w:customStyle="1" w:styleId="84">
    <w:name w:val="Arial 小三 加粗 段前: 7.8 磅 + 首行缩进:  2 字符 + 首行缩进:  2 字符 段前: 0.2 行"/>
    <w:basedOn w:val="1"/>
    <w:next w:val="1"/>
    <w:qFormat/>
    <w:uiPriority w:val="99"/>
    <w:pPr>
      <w:spacing w:beforeLines="20"/>
      <w:ind w:firstLine="200" w:firstLineChars="200"/>
      <w:outlineLvl w:val="1"/>
    </w:pPr>
    <w:rPr>
      <w:rFonts w:ascii="Arial" w:hAnsi="Arial" w:eastAsia="仿宋_GB2312"/>
      <w:b/>
      <w:sz w:val="30"/>
      <w:szCs w:val="20"/>
    </w:rPr>
  </w:style>
  <w:style w:type="paragraph" w:customStyle="1" w:styleId="85">
    <w:name w:val="Char"/>
    <w:basedOn w:val="1"/>
    <w:qFormat/>
    <w:uiPriority w:val="99"/>
    <w:pPr>
      <w:snapToGrid w:val="0"/>
      <w:spacing w:line="360" w:lineRule="auto"/>
      <w:ind w:firstLine="200" w:firstLineChars="200"/>
    </w:pPr>
    <w:rPr>
      <w:rFonts w:eastAsia="仿宋_GB2312"/>
      <w:sz w:val="24"/>
      <w:szCs w:val="28"/>
    </w:rPr>
  </w:style>
  <w:style w:type="paragraph" w:styleId="86">
    <w:name w:val="List Paragraph"/>
    <w:basedOn w:val="1"/>
    <w:qFormat/>
    <w:uiPriority w:val="99"/>
    <w:pPr>
      <w:ind w:firstLine="420" w:firstLineChars="200"/>
    </w:pPr>
    <w:rPr>
      <w:rFonts w:ascii="Calibri" w:hAnsi="Calibri"/>
      <w:szCs w:val="22"/>
    </w:rPr>
  </w:style>
  <w:style w:type="paragraph" w:customStyle="1" w:styleId="87">
    <w:name w:val="样式3"/>
    <w:basedOn w:val="21"/>
    <w:qFormat/>
    <w:uiPriority w:val="99"/>
    <w:pPr>
      <w:spacing w:line="240" w:lineRule="atLeast"/>
      <w:outlineLvl w:val="0"/>
    </w:pPr>
    <w:rPr>
      <w:sz w:val="28"/>
    </w:rPr>
  </w:style>
  <w:style w:type="paragraph" w:customStyle="1" w:styleId="88">
    <w:name w:val="正文 New New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89">
    <w:name w:val="1.1.1.1A-1"/>
    <w:basedOn w:val="90"/>
    <w:qFormat/>
    <w:uiPriority w:val="99"/>
    <w:pPr>
      <w:tabs>
        <w:tab w:val="left" w:pos="1843"/>
        <w:tab w:val="left" w:pos="1985"/>
        <w:tab w:val="left" w:pos="26875"/>
      </w:tabs>
      <w:ind w:left="1985" w:hanging="425"/>
    </w:pPr>
  </w:style>
  <w:style w:type="paragraph" w:customStyle="1" w:styleId="90">
    <w:name w:val="1.1.1.1A"/>
    <w:basedOn w:val="91"/>
    <w:qFormat/>
    <w:uiPriority w:val="99"/>
    <w:pPr>
      <w:tabs>
        <w:tab w:val="left" w:pos="1843"/>
        <w:tab w:val="left" w:pos="26875"/>
      </w:tabs>
      <w:ind w:left="1560" w:hanging="426"/>
    </w:pPr>
  </w:style>
  <w:style w:type="paragraph" w:customStyle="1" w:styleId="91">
    <w:name w:val="1.1.1.1"/>
    <w:basedOn w:val="1"/>
    <w:qFormat/>
    <w:uiPriority w:val="99"/>
    <w:pPr>
      <w:tabs>
        <w:tab w:val="left" w:pos="26875"/>
      </w:tabs>
      <w:autoSpaceDE w:val="0"/>
      <w:autoSpaceDN w:val="0"/>
      <w:adjustRightInd w:val="0"/>
      <w:spacing w:before="60" w:after="60" w:line="360" w:lineRule="atLeast"/>
      <w:ind w:left="1134" w:hanging="1134"/>
    </w:pPr>
    <w:rPr>
      <w:rFonts w:ascii="宋体"/>
      <w:kern w:val="0"/>
      <w:sz w:val="24"/>
      <w:szCs w:val="20"/>
    </w:rPr>
  </w:style>
  <w:style w:type="paragraph" w:customStyle="1" w:styleId="92">
    <w:name w:val="正文 New New New New New"/>
    <w:qFormat/>
    <w:uiPriority w:val="99"/>
    <w:pPr>
      <w:widowControl w:val="0"/>
      <w:jc w:val="both"/>
    </w:pPr>
    <w:rPr>
      <w:rFonts w:ascii="Times New Roman" w:hAnsi="Times New Roman" w:eastAsia="宋体" w:cs="宋体"/>
      <w:b/>
      <w:bCs/>
      <w:kern w:val="2"/>
      <w:sz w:val="30"/>
      <w:szCs w:val="30"/>
      <w:lang w:val="en-US" w:eastAsia="zh-CN" w:bidi="ar-SA"/>
    </w:rPr>
  </w:style>
  <w:style w:type="paragraph" w:customStyle="1" w:styleId="93">
    <w:name w:val="正文缩进 New"/>
    <w:basedOn w:val="92"/>
    <w:qFormat/>
    <w:uiPriority w:val="99"/>
    <w:pPr>
      <w:ind w:firstLine="420"/>
    </w:pPr>
    <w:rPr>
      <w:b w:val="0"/>
      <w:bCs w:val="0"/>
      <w:sz w:val="21"/>
      <w:szCs w:val="21"/>
    </w:rPr>
  </w:style>
  <w:style w:type="paragraph" w:customStyle="1" w:styleId="94">
    <w:name w:val="普通(网站)1"/>
    <w:basedOn w:val="1"/>
    <w:qFormat/>
    <w:uiPriority w:val="99"/>
    <w:pPr>
      <w:widowControl/>
      <w:spacing w:before="100" w:beforeAutospacing="1" w:after="100" w:afterAutospacing="1"/>
      <w:jc w:val="left"/>
    </w:pPr>
    <w:rPr>
      <w:rFonts w:ascii="宋体" w:hAnsi="宋体" w:cs="宋体"/>
      <w:sz w:val="24"/>
    </w:rPr>
  </w:style>
  <w:style w:type="paragraph" w:customStyle="1" w:styleId="95">
    <w:name w:val="Char Char Char Char1"/>
    <w:basedOn w:val="14"/>
    <w:qFormat/>
    <w:uiPriority w:val="99"/>
  </w:style>
  <w:style w:type="paragraph" w:customStyle="1" w:styleId="96">
    <w:name w:val="Char2"/>
    <w:basedOn w:val="1"/>
    <w:qFormat/>
    <w:uiPriority w:val="99"/>
    <w:pPr>
      <w:spacing w:line="360" w:lineRule="auto"/>
      <w:ind w:firstLine="200" w:firstLineChars="200"/>
    </w:pPr>
    <w:rPr>
      <w:rFonts w:ascii="Tahoma" w:hAnsi="Tahoma"/>
      <w:sz w:val="24"/>
      <w:szCs w:val="20"/>
    </w:rPr>
  </w:style>
  <w:style w:type="paragraph" w:customStyle="1" w:styleId="97">
    <w:name w:val="表格"/>
    <w:qFormat/>
    <w:uiPriority w:val="99"/>
    <w:pPr>
      <w:widowControl w:val="0"/>
      <w:adjustRightInd w:val="0"/>
      <w:snapToGrid w:val="0"/>
      <w:ind w:left="2" w:leftChars="1" w:right="113"/>
      <w:jc w:val="both"/>
    </w:pPr>
    <w:rPr>
      <w:rFonts w:ascii="Ari" w:hAnsi="Ari" w:eastAsia="宋体" w:cs="Times New Roman"/>
      <w:sz w:val="24"/>
      <w:szCs w:val="24"/>
      <w:lang w:val="en-US" w:eastAsia="zh-CN" w:bidi="ar-SA"/>
    </w:rPr>
  </w:style>
  <w:style w:type="paragraph" w:customStyle="1" w:styleId="98">
    <w:name w:val="Default"/>
    <w:qFormat/>
    <w:uiPriority w:val="99"/>
    <w:pPr>
      <w:widowControl w:val="0"/>
      <w:autoSpaceDE w:val="0"/>
      <w:autoSpaceDN w:val="0"/>
      <w:adjustRightInd w:val="0"/>
    </w:pPr>
    <w:rPr>
      <w:rFonts w:ascii="黑体" w:hAnsi="Times New Roman" w:eastAsia="黑体" w:cs="Times New Roman"/>
      <w:lang w:val="en-US" w:eastAsia="zh-CN" w:bidi="ar-SA"/>
    </w:rPr>
  </w:style>
  <w:style w:type="paragraph" w:customStyle="1" w:styleId="99">
    <w:name w:val="p0"/>
    <w:basedOn w:val="1"/>
    <w:qFormat/>
    <w:uiPriority w:val="99"/>
    <w:pPr>
      <w:widowControl/>
    </w:pPr>
    <w:rPr>
      <w:kern w:val="0"/>
      <w:szCs w:val="21"/>
    </w:rPr>
  </w:style>
  <w:style w:type="paragraph" w:customStyle="1" w:styleId="100">
    <w:name w:val="Char Char Char Char"/>
    <w:basedOn w:val="1"/>
    <w:qFormat/>
    <w:uiPriority w:val="99"/>
    <w:rPr>
      <w:rFonts w:ascii="Tahoma" w:hAnsi="Tahoma"/>
      <w:sz w:val="24"/>
      <w:szCs w:val="20"/>
    </w:rPr>
  </w:style>
  <w:style w:type="paragraph" w:customStyle="1" w:styleId="101">
    <w:name w:val="Char Char Char1 Char"/>
    <w:basedOn w:val="1"/>
    <w:qFormat/>
    <w:uiPriority w:val="99"/>
    <w:pPr>
      <w:spacing w:line="312" w:lineRule="atLeast"/>
      <w:textAlignment w:val="baseline"/>
    </w:pPr>
    <w:rPr>
      <w:rFonts w:cs="宋体"/>
      <w:szCs w:val="21"/>
    </w:rPr>
  </w:style>
  <w:style w:type="paragraph" w:customStyle="1" w:styleId="102">
    <w:name w:val="默认段落字体 Para Char"/>
    <w:basedOn w:val="1"/>
    <w:qFormat/>
    <w:uiPriority w:val="99"/>
    <w:pPr>
      <w:spacing w:line="360" w:lineRule="auto"/>
      <w:ind w:firstLine="200" w:firstLineChars="200"/>
    </w:pPr>
    <w:rPr>
      <w:rFonts w:cs="宋体"/>
      <w:szCs w:val="21"/>
    </w:rPr>
  </w:style>
  <w:style w:type="paragraph" w:customStyle="1" w:styleId="103">
    <w:name w:val="正文 New"/>
    <w:qFormat/>
    <w:uiPriority w:val="99"/>
    <w:pPr>
      <w:widowControl w:val="0"/>
      <w:jc w:val="both"/>
    </w:pPr>
    <w:rPr>
      <w:rFonts w:ascii="Times New Roman" w:hAnsi="Times New Roman" w:eastAsia="宋体" w:cs="宋体"/>
      <w:kern w:val="2"/>
      <w:sz w:val="21"/>
      <w:szCs w:val="21"/>
      <w:lang w:val="en-US" w:eastAsia="zh-CN" w:bidi="ar-SA"/>
    </w:rPr>
  </w:style>
  <w:style w:type="paragraph" w:customStyle="1" w:styleId="104">
    <w:name w:val="cntrt"/>
    <w:basedOn w:val="1"/>
    <w:qFormat/>
    <w:uiPriority w:val="99"/>
    <w:pPr>
      <w:widowControl/>
      <w:jc w:val="left"/>
    </w:pPr>
    <w:rPr>
      <w:rFonts w:ascii="Arial" w:hAnsi="Arial" w:cs="Arial"/>
      <w:kern w:val="0"/>
      <w:sz w:val="20"/>
      <w:szCs w:val="20"/>
      <w:lang w:val="en-AU"/>
    </w:rPr>
  </w:style>
  <w:style w:type="paragraph" w:customStyle="1" w:styleId="105">
    <w:name w:val="正文 New New"/>
    <w:qFormat/>
    <w:uiPriority w:val="99"/>
    <w:pPr>
      <w:widowControl w:val="0"/>
      <w:jc w:val="both"/>
    </w:pPr>
    <w:rPr>
      <w:rFonts w:ascii="Times New Roman" w:hAnsi="Times New Roman" w:eastAsia="宋体" w:cs="宋体"/>
      <w:b/>
      <w:bCs/>
      <w:kern w:val="2"/>
      <w:sz w:val="30"/>
      <w:szCs w:val="30"/>
      <w:lang w:val="en-US" w:eastAsia="zh-CN" w:bidi="ar-SA"/>
    </w:rPr>
  </w:style>
  <w:style w:type="table" w:customStyle="1" w:styleId="106">
    <w:name w:val="网格型11"/>
    <w:basedOn w:val="4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番茄花园</Company>
  <Pages>9</Pages>
  <Words>2739</Words>
  <Characters>2784</Characters>
  <Lines>23</Lines>
  <Paragraphs>6</Paragraphs>
  <TotalTime>0</TotalTime>
  <ScaleCrop>false</ScaleCrop>
  <LinksUpToDate>false</LinksUpToDate>
  <CharactersWithSpaces>3161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2025-02-18T07:50:00Z</dcterms:created>
  <dc:creator>番茄花园</dc:creator>
  <cp:lastModifiedBy>三三三三</cp:lastModifiedBy>
  <cp:lastPrinted>2024-02-02T08:59:00Z</cp:lastPrinted>
  <dcterms:modified xsi:type="dcterms:W3CDTF">2025-03-12T00:09:22Z</dcterms:modified>
  <dc:title>目   录</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E7E73CAA042948099DD7E63C5BD56B7D_13</vt:lpwstr>
  </property>
  <property fmtid="{D5CDD505-2E9C-101B-9397-08002B2CF9AE}" pid="4" name="KSOTemplateDocerSaveRecord">
    <vt:lpwstr>eyJoZGlkIjoiZGExODg1M2QyODQ5NWM3NDM2ZWVlZTEyOThlMjBjOWMiLCJ1c2VySWQiOiI0NDM2OTk1OTMifQ==</vt:lpwstr>
  </property>
</Properties>
</file>