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74D779">
      <w:pPr>
        <w:jc w:val="center"/>
        <w:rPr>
          <w:rFonts w:hint="eastAsia" w:ascii="宋体" w:hAnsi="宋体"/>
          <w:b/>
          <w:sz w:val="52"/>
          <w:szCs w:val="52"/>
        </w:rPr>
      </w:pPr>
    </w:p>
    <w:p w14:paraId="1D76B54A">
      <w:pPr>
        <w:spacing w:line="360" w:lineRule="auto"/>
        <w:jc w:val="center"/>
        <w:rPr>
          <w:rFonts w:hint="eastAsia" w:ascii="宋体" w:hAnsi="宋体"/>
          <w:b/>
          <w:sz w:val="48"/>
          <w:szCs w:val="48"/>
        </w:rPr>
      </w:pPr>
    </w:p>
    <w:p w14:paraId="21177060">
      <w:pPr>
        <w:spacing w:line="360" w:lineRule="auto"/>
        <w:jc w:val="center"/>
        <w:rPr>
          <w:rFonts w:hint="eastAsia" w:ascii="宋体" w:hAnsi="宋体"/>
          <w:b/>
          <w:sz w:val="48"/>
          <w:szCs w:val="48"/>
        </w:rPr>
      </w:pPr>
    </w:p>
    <w:p w14:paraId="28DAE476">
      <w:pPr>
        <w:spacing w:line="360" w:lineRule="auto"/>
        <w:jc w:val="center"/>
        <w:rPr>
          <w:rFonts w:ascii="宋体"/>
          <w:b/>
          <w:sz w:val="48"/>
          <w:szCs w:val="48"/>
        </w:rPr>
      </w:pPr>
      <w:r>
        <w:rPr>
          <w:rFonts w:hint="eastAsia" w:ascii="宋体" w:hAnsi="宋体"/>
          <w:b/>
          <w:sz w:val="48"/>
          <w:szCs w:val="48"/>
        </w:rPr>
        <w:t>永城煤电控股集团有限公司</w:t>
      </w:r>
    </w:p>
    <w:p w14:paraId="0237D656">
      <w:pPr>
        <w:spacing w:line="360" w:lineRule="auto"/>
        <w:jc w:val="center"/>
        <w:rPr>
          <w:rFonts w:hint="eastAsia" w:ascii="华文中宋" w:hAnsi="华文中宋" w:eastAsia="华文中宋"/>
          <w:sz w:val="48"/>
          <w:szCs w:val="48"/>
        </w:rPr>
      </w:pPr>
      <w:r>
        <w:rPr>
          <w:rFonts w:hint="eastAsia" w:ascii="宋体" w:hAnsi="宋体"/>
          <w:b/>
          <w:sz w:val="48"/>
          <w:szCs w:val="48"/>
        </w:rPr>
        <w:t>产学研项目榜单发布公告</w:t>
      </w:r>
    </w:p>
    <w:p w14:paraId="0B7AB7DB">
      <w:pPr>
        <w:spacing w:line="440" w:lineRule="exact"/>
        <w:jc w:val="center"/>
        <w:rPr>
          <w:rFonts w:hint="eastAsia" w:ascii="华文中宋" w:hAnsi="华文中宋" w:eastAsia="华文中宋"/>
          <w:sz w:val="36"/>
          <w:szCs w:val="36"/>
        </w:rPr>
      </w:pPr>
    </w:p>
    <w:p w14:paraId="0893F12D">
      <w:pPr>
        <w:spacing w:line="440" w:lineRule="exact"/>
        <w:jc w:val="center"/>
        <w:rPr>
          <w:rFonts w:hint="eastAsia" w:ascii="华文中宋" w:hAnsi="华文中宋" w:eastAsia="华文中宋"/>
          <w:sz w:val="36"/>
          <w:szCs w:val="36"/>
        </w:rPr>
      </w:pPr>
    </w:p>
    <w:p w14:paraId="1896DCA8">
      <w:pPr>
        <w:spacing w:line="440" w:lineRule="exact"/>
        <w:jc w:val="center"/>
        <w:rPr>
          <w:rFonts w:hint="eastAsia" w:ascii="华文中宋" w:hAnsi="华文中宋" w:eastAsia="华文中宋"/>
          <w:sz w:val="36"/>
          <w:szCs w:val="36"/>
        </w:rPr>
      </w:pPr>
    </w:p>
    <w:p w14:paraId="085CDA7A">
      <w:pPr>
        <w:spacing w:line="440" w:lineRule="exact"/>
        <w:jc w:val="center"/>
        <w:rPr>
          <w:rFonts w:hint="eastAsia" w:ascii="华文中宋" w:hAnsi="华文中宋" w:eastAsia="华文中宋"/>
          <w:sz w:val="36"/>
          <w:szCs w:val="36"/>
        </w:rPr>
      </w:pPr>
    </w:p>
    <w:p w14:paraId="573CA6D4">
      <w:pPr>
        <w:spacing w:line="440" w:lineRule="exact"/>
        <w:jc w:val="center"/>
        <w:rPr>
          <w:rFonts w:ascii="宋体"/>
          <w:sz w:val="44"/>
          <w:szCs w:val="44"/>
        </w:rPr>
      </w:pPr>
    </w:p>
    <w:p w14:paraId="073B802E">
      <w:pPr>
        <w:spacing w:line="440" w:lineRule="exact"/>
        <w:jc w:val="center"/>
        <w:rPr>
          <w:rFonts w:ascii="宋体"/>
          <w:sz w:val="44"/>
          <w:szCs w:val="44"/>
        </w:rPr>
      </w:pPr>
    </w:p>
    <w:p w14:paraId="3D5666FF">
      <w:pPr>
        <w:spacing w:line="440" w:lineRule="exact"/>
        <w:jc w:val="center"/>
        <w:rPr>
          <w:rFonts w:ascii="宋体"/>
          <w:sz w:val="44"/>
          <w:szCs w:val="44"/>
        </w:rPr>
      </w:pPr>
    </w:p>
    <w:p w14:paraId="3EEC5C91">
      <w:pPr>
        <w:spacing w:line="440" w:lineRule="exact"/>
        <w:jc w:val="center"/>
        <w:rPr>
          <w:rFonts w:ascii="宋体"/>
          <w:sz w:val="44"/>
          <w:szCs w:val="44"/>
        </w:rPr>
      </w:pPr>
    </w:p>
    <w:p w14:paraId="31FC0E94">
      <w:pPr>
        <w:spacing w:line="440" w:lineRule="exact"/>
        <w:jc w:val="center"/>
        <w:rPr>
          <w:rFonts w:ascii="宋体"/>
          <w:sz w:val="44"/>
          <w:szCs w:val="44"/>
        </w:rPr>
      </w:pPr>
    </w:p>
    <w:p w14:paraId="5749248E">
      <w:pPr>
        <w:spacing w:line="440" w:lineRule="exact"/>
        <w:jc w:val="center"/>
        <w:rPr>
          <w:rFonts w:ascii="宋体"/>
          <w:sz w:val="44"/>
          <w:szCs w:val="44"/>
        </w:rPr>
      </w:pPr>
    </w:p>
    <w:p w14:paraId="331410D7">
      <w:pPr>
        <w:spacing w:line="440" w:lineRule="exact"/>
        <w:ind w:firstLine="960" w:firstLineChars="300"/>
        <w:jc w:val="left"/>
        <w:rPr>
          <w:rFonts w:ascii="宋体"/>
          <w:sz w:val="32"/>
          <w:szCs w:val="32"/>
        </w:rPr>
      </w:pPr>
      <w:r>
        <w:rPr>
          <w:rFonts w:hint="eastAsia" w:ascii="宋体"/>
          <w:sz w:val="32"/>
          <w:szCs w:val="32"/>
        </w:rPr>
        <w:t>发 榜 人：永城煤电控股集团有限公司</w:t>
      </w:r>
    </w:p>
    <w:p w14:paraId="25BC8A42">
      <w:pPr>
        <w:spacing w:line="440" w:lineRule="exact"/>
        <w:ind w:firstLine="960" w:firstLineChars="300"/>
        <w:jc w:val="left"/>
        <w:rPr>
          <w:rFonts w:ascii="宋体"/>
          <w:sz w:val="32"/>
          <w:szCs w:val="32"/>
        </w:rPr>
      </w:pPr>
      <w:r>
        <w:rPr>
          <w:rFonts w:hint="eastAsia" w:ascii="宋体"/>
          <w:sz w:val="32"/>
          <w:szCs w:val="32"/>
        </w:rPr>
        <w:t>项目单位:</w:t>
      </w:r>
      <w:r>
        <w:rPr>
          <w:rFonts w:hint="eastAsia"/>
        </w:rPr>
        <w:t xml:space="preserve"> </w:t>
      </w:r>
      <w:r>
        <w:rPr>
          <w:rFonts w:hint="eastAsia" w:ascii="宋体"/>
          <w:sz w:val="32"/>
          <w:szCs w:val="32"/>
        </w:rPr>
        <w:t>河南省正龙煤业有限公司</w:t>
      </w:r>
    </w:p>
    <w:p w14:paraId="2CFA084B">
      <w:pPr>
        <w:spacing w:line="440" w:lineRule="exact"/>
        <w:ind w:left="2650" w:leftChars="500" w:hanging="1600" w:hangingChars="500"/>
        <w:jc w:val="left"/>
        <w:rPr>
          <w:rFonts w:ascii="宋体"/>
          <w:sz w:val="32"/>
          <w:szCs w:val="32"/>
          <w:highlight w:val="red"/>
        </w:rPr>
      </w:pPr>
      <w:r>
        <w:rPr>
          <w:rFonts w:hint="eastAsia" w:ascii="宋体"/>
          <w:sz w:val="32"/>
          <w:szCs w:val="32"/>
        </w:rPr>
        <w:t>项目名称：深井复杂条件超长工作面围岩变形破坏规律及关键控制技术研究</w:t>
      </w:r>
    </w:p>
    <w:p w14:paraId="7324906E">
      <w:pPr>
        <w:spacing w:line="400" w:lineRule="exact"/>
        <w:ind w:firstLine="643" w:firstLineChars="200"/>
        <w:rPr>
          <w:rFonts w:ascii="宋体"/>
          <w:b/>
          <w:sz w:val="32"/>
          <w:szCs w:val="32"/>
        </w:rPr>
      </w:pPr>
    </w:p>
    <w:p w14:paraId="7D098B71">
      <w:pPr>
        <w:spacing w:line="400" w:lineRule="exact"/>
        <w:ind w:firstLine="2570" w:firstLineChars="800"/>
        <w:rPr>
          <w:rFonts w:ascii="宋体"/>
          <w:b/>
          <w:sz w:val="32"/>
          <w:szCs w:val="32"/>
        </w:rPr>
      </w:pPr>
    </w:p>
    <w:p w14:paraId="450DFFDD">
      <w:pPr>
        <w:spacing w:line="400" w:lineRule="exact"/>
        <w:ind w:firstLine="643" w:firstLineChars="200"/>
        <w:rPr>
          <w:rFonts w:ascii="宋体"/>
          <w:b/>
          <w:sz w:val="32"/>
          <w:szCs w:val="32"/>
        </w:rPr>
      </w:pPr>
    </w:p>
    <w:p w14:paraId="39DB3947">
      <w:pPr>
        <w:jc w:val="center"/>
        <w:rPr>
          <w:rFonts w:ascii="宋体"/>
          <w:b/>
          <w:spacing w:val="20"/>
          <w:sz w:val="32"/>
          <w:szCs w:val="32"/>
        </w:rPr>
      </w:pPr>
    </w:p>
    <w:p w14:paraId="10BB03F7">
      <w:pPr>
        <w:jc w:val="center"/>
        <w:rPr>
          <w:rFonts w:ascii="宋体"/>
          <w:spacing w:val="20"/>
          <w:sz w:val="32"/>
          <w:szCs w:val="32"/>
        </w:rPr>
        <w:sectPr>
          <w:headerReference r:id="rId5" w:type="first"/>
          <w:footerReference r:id="rId8" w:type="first"/>
          <w:headerReference r:id="rId3" w:type="default"/>
          <w:footerReference r:id="rId6" w:type="default"/>
          <w:headerReference r:id="rId4" w:type="even"/>
          <w:footerReference r:id="rId7" w:type="even"/>
          <w:pgSz w:w="11906" w:h="16838"/>
          <w:pgMar w:top="1134" w:right="1134" w:bottom="1134" w:left="1134" w:header="851" w:footer="992" w:gutter="0"/>
          <w:pgNumType w:fmt="numberInDash"/>
          <w:cols w:space="720" w:num="1"/>
          <w:titlePg/>
          <w:docGrid w:linePitch="312" w:charSpace="0"/>
        </w:sectPr>
      </w:pPr>
      <w:r>
        <w:rPr>
          <w:rFonts w:ascii="宋体" w:hAnsi="宋体"/>
          <w:spacing w:val="20"/>
          <w:sz w:val="32"/>
          <w:szCs w:val="32"/>
        </w:rPr>
        <w:t>20</w:t>
      </w:r>
      <w:r>
        <w:rPr>
          <w:rFonts w:hint="eastAsia" w:ascii="宋体" w:hAnsi="宋体"/>
          <w:spacing w:val="20"/>
          <w:sz w:val="32"/>
          <w:szCs w:val="32"/>
        </w:rPr>
        <w:t>25年3月</w:t>
      </w:r>
    </w:p>
    <w:p w14:paraId="1FAAC6C6">
      <w:pPr>
        <w:tabs>
          <w:tab w:val="left" w:pos="2340"/>
        </w:tabs>
        <w:spacing w:before="240" w:beforeLines="100" w:after="240" w:afterLines="100" w:line="500" w:lineRule="exact"/>
        <w:rPr>
          <w:rFonts w:ascii="宋体" w:cs="仿宋_GB2312"/>
          <w:sz w:val="30"/>
          <w:szCs w:val="30"/>
        </w:rPr>
      </w:pPr>
    </w:p>
    <w:p w14:paraId="6E237B13">
      <w:pPr>
        <w:tabs>
          <w:tab w:val="left" w:pos="2340"/>
        </w:tabs>
        <w:spacing w:before="240" w:beforeLines="100" w:after="240" w:afterLines="100" w:line="500" w:lineRule="exact"/>
        <w:rPr>
          <w:rFonts w:ascii="宋体" w:cs="仿宋_GB2312"/>
          <w:sz w:val="30"/>
          <w:szCs w:val="30"/>
        </w:rPr>
      </w:pPr>
    </w:p>
    <w:p w14:paraId="1A03471E">
      <w:pPr>
        <w:tabs>
          <w:tab w:val="left" w:pos="2340"/>
        </w:tabs>
        <w:spacing w:before="240" w:beforeLines="100" w:after="240" w:afterLines="100" w:line="500" w:lineRule="exact"/>
        <w:jc w:val="center"/>
        <w:rPr>
          <w:rFonts w:hint="eastAsia" w:ascii="黑体" w:hAnsi="黑体" w:eastAsia="黑体"/>
          <w:b/>
          <w:sz w:val="48"/>
          <w:szCs w:val="48"/>
        </w:rPr>
      </w:pPr>
      <w:r>
        <w:rPr>
          <w:rFonts w:hint="eastAsia" w:ascii="黑体" w:hAnsi="黑体" w:eastAsia="黑体"/>
          <w:b/>
          <w:sz w:val="48"/>
          <w:szCs w:val="48"/>
        </w:rPr>
        <w:t>目录</w:t>
      </w:r>
    </w:p>
    <w:p w14:paraId="55518981">
      <w:pPr>
        <w:tabs>
          <w:tab w:val="left" w:pos="2340"/>
        </w:tabs>
        <w:spacing w:before="240" w:beforeLines="100" w:after="240" w:afterLines="100" w:line="500" w:lineRule="exact"/>
        <w:jc w:val="center"/>
        <w:rPr>
          <w:rFonts w:hint="eastAsia" w:ascii="黑体" w:hAnsi="黑体" w:eastAsia="黑体"/>
          <w:b/>
          <w:sz w:val="44"/>
          <w:szCs w:val="44"/>
        </w:rPr>
      </w:pPr>
    </w:p>
    <w:p w14:paraId="79A8533D">
      <w:pPr>
        <w:widowControl/>
        <w:tabs>
          <w:tab w:val="left" w:pos="2340"/>
        </w:tabs>
        <w:spacing w:line="500" w:lineRule="exact"/>
        <w:ind w:left="1620"/>
        <w:jc w:val="left"/>
        <w:rPr>
          <w:rFonts w:hint="eastAsia" w:ascii="黑体" w:hAnsi="黑体" w:eastAsia="黑体"/>
          <w:sz w:val="36"/>
          <w:szCs w:val="36"/>
        </w:rPr>
      </w:pPr>
      <w:r>
        <w:rPr>
          <w:rFonts w:hint="eastAsia" w:ascii="黑体" w:hAnsi="黑体" w:eastAsia="黑体"/>
          <w:sz w:val="36"/>
          <w:szCs w:val="36"/>
        </w:rPr>
        <w:t>一、揭榜须知</w:t>
      </w:r>
    </w:p>
    <w:p w14:paraId="03FBEB90">
      <w:pPr>
        <w:widowControl/>
        <w:tabs>
          <w:tab w:val="left" w:pos="2340"/>
        </w:tabs>
        <w:spacing w:line="500" w:lineRule="exact"/>
        <w:ind w:left="1620"/>
        <w:jc w:val="left"/>
        <w:rPr>
          <w:rFonts w:hint="eastAsia" w:ascii="黑体" w:hAnsi="黑体" w:eastAsia="黑体"/>
          <w:sz w:val="36"/>
          <w:szCs w:val="36"/>
        </w:rPr>
      </w:pPr>
    </w:p>
    <w:p w14:paraId="78077F60">
      <w:pPr>
        <w:widowControl/>
        <w:tabs>
          <w:tab w:val="left" w:pos="2340"/>
        </w:tabs>
        <w:spacing w:line="500" w:lineRule="exact"/>
        <w:ind w:left="1620"/>
        <w:jc w:val="left"/>
        <w:rPr>
          <w:rFonts w:hint="eastAsia" w:ascii="黑体" w:hAnsi="黑体" w:eastAsia="黑体"/>
          <w:sz w:val="36"/>
          <w:szCs w:val="36"/>
        </w:rPr>
      </w:pPr>
      <w:r>
        <w:rPr>
          <w:rFonts w:hint="eastAsia" w:ascii="黑体" w:hAnsi="黑体" w:eastAsia="黑体"/>
          <w:sz w:val="36"/>
          <w:szCs w:val="36"/>
        </w:rPr>
        <w:t>二、项目技术要求</w:t>
      </w:r>
    </w:p>
    <w:p w14:paraId="4EC02D1B">
      <w:pPr>
        <w:widowControl/>
        <w:tabs>
          <w:tab w:val="left" w:pos="2340"/>
        </w:tabs>
        <w:spacing w:line="500" w:lineRule="exact"/>
        <w:ind w:left="1620"/>
        <w:jc w:val="left"/>
        <w:rPr>
          <w:rFonts w:hint="eastAsia" w:ascii="黑体" w:hAnsi="黑体" w:eastAsia="黑体"/>
          <w:sz w:val="36"/>
          <w:szCs w:val="36"/>
        </w:rPr>
      </w:pPr>
    </w:p>
    <w:p w14:paraId="4D62F189">
      <w:pPr>
        <w:widowControl/>
        <w:tabs>
          <w:tab w:val="left" w:pos="2340"/>
        </w:tabs>
        <w:spacing w:line="500" w:lineRule="exact"/>
        <w:ind w:left="1620"/>
        <w:jc w:val="left"/>
        <w:rPr>
          <w:rFonts w:hint="eastAsia" w:ascii="黑体" w:hAnsi="黑体" w:eastAsia="黑体"/>
          <w:sz w:val="36"/>
          <w:szCs w:val="36"/>
        </w:rPr>
      </w:pPr>
      <w:r>
        <w:rPr>
          <w:rFonts w:hint="eastAsia" w:ascii="黑体" w:hAnsi="黑体" w:eastAsia="黑体"/>
          <w:sz w:val="36"/>
          <w:szCs w:val="36"/>
        </w:rPr>
        <w:t>三、揭榜申请书及投榜书编制</w:t>
      </w:r>
    </w:p>
    <w:p w14:paraId="36EAC15E">
      <w:pPr>
        <w:widowControl/>
        <w:tabs>
          <w:tab w:val="left" w:pos="2340"/>
        </w:tabs>
        <w:spacing w:line="500" w:lineRule="exact"/>
        <w:ind w:left="1620"/>
        <w:jc w:val="left"/>
        <w:rPr>
          <w:rFonts w:hint="eastAsia" w:ascii="黑体" w:hAnsi="黑体" w:eastAsia="黑体"/>
          <w:sz w:val="36"/>
          <w:szCs w:val="36"/>
        </w:rPr>
      </w:pPr>
    </w:p>
    <w:p w14:paraId="2AF9660A">
      <w:pPr>
        <w:widowControl/>
        <w:tabs>
          <w:tab w:val="left" w:pos="2340"/>
        </w:tabs>
        <w:spacing w:line="500" w:lineRule="exact"/>
        <w:ind w:left="1620"/>
        <w:jc w:val="left"/>
        <w:rPr>
          <w:rFonts w:hint="eastAsia" w:ascii="黑体" w:hAnsi="黑体" w:eastAsia="黑体"/>
          <w:sz w:val="36"/>
          <w:szCs w:val="36"/>
        </w:rPr>
      </w:pPr>
      <w:r>
        <w:rPr>
          <w:rFonts w:hint="eastAsia" w:ascii="黑体" w:hAnsi="黑体" w:eastAsia="黑体"/>
          <w:sz w:val="36"/>
          <w:szCs w:val="36"/>
        </w:rPr>
        <w:t>四、投榜书递交</w:t>
      </w:r>
    </w:p>
    <w:p w14:paraId="21F08F41">
      <w:pPr>
        <w:widowControl/>
        <w:tabs>
          <w:tab w:val="left" w:pos="2340"/>
        </w:tabs>
        <w:spacing w:line="500" w:lineRule="exact"/>
        <w:ind w:left="1620"/>
        <w:jc w:val="left"/>
        <w:rPr>
          <w:rFonts w:hint="eastAsia" w:ascii="黑体" w:hAnsi="黑体" w:eastAsia="黑体"/>
          <w:sz w:val="36"/>
          <w:szCs w:val="36"/>
        </w:rPr>
      </w:pPr>
    </w:p>
    <w:p w14:paraId="4356FF4B">
      <w:pPr>
        <w:widowControl/>
        <w:tabs>
          <w:tab w:val="left" w:pos="2340"/>
        </w:tabs>
        <w:spacing w:line="500" w:lineRule="exact"/>
        <w:ind w:left="1620"/>
        <w:jc w:val="left"/>
        <w:rPr>
          <w:rFonts w:hint="eastAsia" w:ascii="黑体" w:hAnsi="黑体" w:eastAsia="黑体"/>
          <w:sz w:val="36"/>
          <w:szCs w:val="36"/>
        </w:rPr>
      </w:pPr>
      <w:r>
        <w:rPr>
          <w:rFonts w:hint="eastAsia" w:ascii="黑体" w:hAnsi="黑体" w:eastAsia="黑体"/>
          <w:sz w:val="36"/>
          <w:szCs w:val="36"/>
        </w:rPr>
        <w:t>五、评榜选帅</w:t>
      </w:r>
    </w:p>
    <w:p w14:paraId="07C6FD30">
      <w:pPr>
        <w:widowControl/>
        <w:tabs>
          <w:tab w:val="left" w:pos="2340"/>
        </w:tabs>
        <w:spacing w:line="500" w:lineRule="exact"/>
        <w:ind w:left="1620"/>
        <w:jc w:val="left"/>
        <w:rPr>
          <w:rFonts w:hint="eastAsia" w:ascii="黑体" w:hAnsi="黑体" w:eastAsia="黑体"/>
          <w:b/>
          <w:sz w:val="36"/>
          <w:szCs w:val="36"/>
        </w:rPr>
      </w:pPr>
    </w:p>
    <w:p w14:paraId="1D65CE0C">
      <w:pPr>
        <w:widowControl/>
        <w:tabs>
          <w:tab w:val="left" w:pos="2340"/>
        </w:tabs>
        <w:spacing w:line="500" w:lineRule="exact"/>
        <w:ind w:left="1620"/>
        <w:jc w:val="left"/>
        <w:rPr>
          <w:rFonts w:hint="eastAsia" w:ascii="黑体" w:hAnsi="黑体" w:eastAsia="黑体"/>
          <w:sz w:val="36"/>
          <w:szCs w:val="36"/>
        </w:rPr>
      </w:pPr>
      <w:r>
        <w:rPr>
          <w:rFonts w:hint="eastAsia" w:ascii="黑体" w:hAnsi="黑体" w:eastAsia="黑体"/>
          <w:sz w:val="36"/>
          <w:szCs w:val="36"/>
        </w:rPr>
        <w:t>六、中榜挂帅</w:t>
      </w:r>
    </w:p>
    <w:p w14:paraId="35227EFC">
      <w:pPr>
        <w:widowControl/>
        <w:tabs>
          <w:tab w:val="left" w:pos="2340"/>
        </w:tabs>
        <w:spacing w:line="500" w:lineRule="exact"/>
        <w:ind w:left="1620"/>
        <w:jc w:val="left"/>
        <w:rPr>
          <w:rFonts w:hint="eastAsia" w:ascii="黑体" w:hAnsi="黑体" w:eastAsia="黑体"/>
          <w:sz w:val="36"/>
          <w:szCs w:val="36"/>
        </w:rPr>
      </w:pPr>
    </w:p>
    <w:p w14:paraId="62E5E099">
      <w:pPr>
        <w:widowControl/>
        <w:tabs>
          <w:tab w:val="left" w:pos="2340"/>
        </w:tabs>
        <w:spacing w:line="500" w:lineRule="exact"/>
        <w:ind w:left="1620"/>
        <w:jc w:val="left"/>
        <w:rPr>
          <w:rFonts w:hint="eastAsia" w:ascii="黑体" w:hAnsi="黑体" w:eastAsia="黑体"/>
          <w:sz w:val="36"/>
          <w:szCs w:val="36"/>
        </w:rPr>
      </w:pPr>
      <w:r>
        <w:rPr>
          <w:rFonts w:hint="eastAsia" w:ascii="黑体" w:hAnsi="黑体" w:eastAsia="黑体"/>
          <w:sz w:val="36"/>
          <w:szCs w:val="36"/>
        </w:rPr>
        <w:t>七、签军令状</w:t>
      </w:r>
    </w:p>
    <w:p w14:paraId="1DBB480E">
      <w:pPr>
        <w:widowControl/>
        <w:tabs>
          <w:tab w:val="left" w:pos="2340"/>
        </w:tabs>
        <w:spacing w:line="500" w:lineRule="exact"/>
        <w:ind w:left="1620"/>
        <w:jc w:val="left"/>
        <w:rPr>
          <w:rFonts w:hint="eastAsia" w:ascii="黑体" w:hAnsi="黑体" w:eastAsia="黑体"/>
          <w:sz w:val="36"/>
          <w:szCs w:val="36"/>
        </w:rPr>
      </w:pPr>
    </w:p>
    <w:p w14:paraId="7A83CE5C">
      <w:pPr>
        <w:jc w:val="center"/>
        <w:rPr>
          <w:rFonts w:hint="eastAsia" w:ascii="宋体" w:hAnsi="宋体" w:eastAsia="黑体"/>
          <w:b/>
          <w:sz w:val="28"/>
          <w:szCs w:val="28"/>
        </w:rPr>
      </w:pPr>
    </w:p>
    <w:p w14:paraId="0A3D244A">
      <w:pPr>
        <w:jc w:val="center"/>
        <w:rPr>
          <w:rFonts w:hint="eastAsia" w:ascii="宋体" w:hAnsi="宋体" w:eastAsia="黑体"/>
          <w:b/>
          <w:sz w:val="28"/>
          <w:szCs w:val="28"/>
        </w:rPr>
      </w:pPr>
    </w:p>
    <w:p w14:paraId="687BE8DF">
      <w:pPr>
        <w:jc w:val="center"/>
        <w:rPr>
          <w:rFonts w:hint="eastAsia" w:ascii="宋体" w:hAnsi="宋体" w:eastAsia="黑体"/>
          <w:b/>
          <w:sz w:val="28"/>
          <w:szCs w:val="28"/>
        </w:rPr>
      </w:pPr>
    </w:p>
    <w:p w14:paraId="5570F1CF">
      <w:pPr>
        <w:jc w:val="center"/>
        <w:rPr>
          <w:rFonts w:hint="eastAsia" w:ascii="宋体" w:hAnsi="宋体" w:eastAsia="黑体"/>
          <w:b/>
          <w:sz w:val="28"/>
          <w:szCs w:val="28"/>
        </w:rPr>
      </w:pPr>
    </w:p>
    <w:p w14:paraId="7108DC7C">
      <w:pPr>
        <w:jc w:val="center"/>
        <w:rPr>
          <w:rFonts w:hint="eastAsia" w:ascii="宋体" w:hAnsi="宋体" w:eastAsia="黑体"/>
          <w:b/>
          <w:sz w:val="28"/>
          <w:szCs w:val="28"/>
        </w:rPr>
      </w:pPr>
    </w:p>
    <w:p w14:paraId="1E89CCBB">
      <w:pPr>
        <w:jc w:val="center"/>
        <w:rPr>
          <w:rFonts w:hint="eastAsia" w:ascii="宋体" w:hAnsi="宋体" w:eastAsia="黑体"/>
          <w:b/>
          <w:sz w:val="28"/>
          <w:szCs w:val="28"/>
        </w:rPr>
      </w:pPr>
    </w:p>
    <w:p w14:paraId="09594D9A">
      <w:pPr>
        <w:jc w:val="center"/>
        <w:rPr>
          <w:rFonts w:hint="eastAsia" w:ascii="宋体" w:hAnsi="宋体" w:eastAsia="黑体"/>
          <w:b/>
          <w:sz w:val="28"/>
          <w:szCs w:val="28"/>
        </w:rPr>
      </w:pPr>
    </w:p>
    <w:p w14:paraId="5A03FA5D">
      <w:pPr>
        <w:jc w:val="center"/>
        <w:rPr>
          <w:rFonts w:hint="eastAsia" w:ascii="宋体" w:hAnsi="宋体" w:eastAsia="黑体"/>
          <w:b/>
          <w:sz w:val="28"/>
          <w:szCs w:val="28"/>
        </w:rPr>
      </w:pPr>
    </w:p>
    <w:p w14:paraId="6C00F479">
      <w:pPr>
        <w:jc w:val="center"/>
        <w:rPr>
          <w:rFonts w:hint="eastAsia" w:ascii="宋体" w:hAnsi="宋体" w:eastAsia="黑体"/>
          <w:b/>
          <w:sz w:val="28"/>
          <w:szCs w:val="28"/>
        </w:rPr>
      </w:pPr>
    </w:p>
    <w:p w14:paraId="28EA44D0">
      <w:pPr>
        <w:jc w:val="center"/>
        <w:rPr>
          <w:rFonts w:hint="eastAsia" w:ascii="宋体" w:hAnsi="宋体" w:eastAsia="黑体"/>
          <w:b/>
          <w:sz w:val="28"/>
          <w:szCs w:val="28"/>
        </w:rPr>
      </w:pPr>
    </w:p>
    <w:p w14:paraId="7A43EAFA">
      <w:pPr>
        <w:jc w:val="center"/>
        <w:rPr>
          <w:rFonts w:hint="eastAsia" w:ascii="宋体" w:hAnsi="宋体" w:eastAsia="黑体"/>
          <w:b/>
          <w:sz w:val="28"/>
          <w:szCs w:val="28"/>
        </w:rPr>
      </w:pPr>
    </w:p>
    <w:p w14:paraId="5121D738">
      <w:pPr>
        <w:jc w:val="center"/>
        <w:rPr>
          <w:rFonts w:hint="eastAsia" w:ascii="宋体" w:hAnsi="宋体" w:eastAsia="黑体"/>
          <w:b/>
          <w:sz w:val="28"/>
          <w:szCs w:val="28"/>
        </w:rPr>
      </w:pPr>
    </w:p>
    <w:p w14:paraId="4E1FFC13">
      <w:pPr>
        <w:pStyle w:val="2"/>
        <w:numPr>
          <w:ilvl w:val="0"/>
          <w:numId w:val="0"/>
        </w:numPr>
        <w:jc w:val="center"/>
      </w:pPr>
      <w:bookmarkStart w:id="0" w:name="_Toc491589959"/>
      <w:bookmarkStart w:id="1" w:name="_Toc145730880"/>
      <w:bookmarkStart w:id="2" w:name="_Toc231814776"/>
      <w:r>
        <w:rPr>
          <w:rFonts w:hint="eastAsia"/>
        </w:rPr>
        <w:t>一、揭榜须知</w:t>
      </w:r>
      <w:bookmarkEnd w:id="0"/>
      <w:bookmarkEnd w:id="1"/>
      <w:bookmarkEnd w:id="2"/>
    </w:p>
    <w:tbl>
      <w:tblPr>
        <w:tblStyle w:val="4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1"/>
        <w:gridCol w:w="9031"/>
      </w:tblGrid>
      <w:tr w14:paraId="08A11B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trPr>
        <w:tc>
          <w:tcPr>
            <w:tcW w:w="711" w:type="dxa"/>
            <w:vAlign w:val="center"/>
          </w:tcPr>
          <w:p w14:paraId="3F5CB3EA">
            <w:pPr>
              <w:autoSpaceDE w:val="0"/>
              <w:autoSpaceDN w:val="0"/>
              <w:adjustRightInd w:val="0"/>
              <w:spacing w:line="320" w:lineRule="exact"/>
              <w:jc w:val="center"/>
              <w:rPr>
                <w:rFonts w:ascii="宋体"/>
                <w:b/>
                <w:kern w:val="0"/>
                <w:sz w:val="24"/>
              </w:rPr>
            </w:pPr>
            <w:r>
              <w:rPr>
                <w:rFonts w:hint="eastAsia" w:ascii="宋体" w:hAnsi="宋体"/>
                <w:b/>
                <w:kern w:val="0"/>
                <w:sz w:val="24"/>
              </w:rPr>
              <w:t>项目</w:t>
            </w:r>
          </w:p>
        </w:tc>
        <w:tc>
          <w:tcPr>
            <w:tcW w:w="9031" w:type="dxa"/>
            <w:vAlign w:val="center"/>
          </w:tcPr>
          <w:p w14:paraId="5C67E626">
            <w:pPr>
              <w:autoSpaceDE w:val="0"/>
              <w:autoSpaceDN w:val="0"/>
              <w:adjustRightInd w:val="0"/>
              <w:spacing w:line="320" w:lineRule="exact"/>
              <w:jc w:val="center"/>
              <w:rPr>
                <w:rFonts w:ascii="宋体"/>
                <w:b/>
                <w:kern w:val="0"/>
                <w:sz w:val="24"/>
              </w:rPr>
            </w:pPr>
            <w:r>
              <w:rPr>
                <w:rFonts w:hint="eastAsia" w:ascii="宋体" w:hAnsi="宋体"/>
                <w:b/>
                <w:kern w:val="0"/>
                <w:sz w:val="24"/>
              </w:rPr>
              <w:t>内容规定</w:t>
            </w:r>
          </w:p>
        </w:tc>
      </w:tr>
      <w:tr w14:paraId="5B7725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1" w:hRule="atLeast"/>
        </w:trPr>
        <w:tc>
          <w:tcPr>
            <w:tcW w:w="711" w:type="dxa"/>
            <w:vAlign w:val="center"/>
          </w:tcPr>
          <w:p w14:paraId="047665D1">
            <w:pPr>
              <w:autoSpaceDE w:val="0"/>
              <w:autoSpaceDN w:val="0"/>
              <w:adjustRightInd w:val="0"/>
              <w:jc w:val="center"/>
              <w:rPr>
                <w:rFonts w:hint="eastAsia" w:ascii="宋体" w:hAnsi="宋体" w:eastAsia="仿宋_GB2312"/>
                <w:kern w:val="0"/>
                <w:sz w:val="24"/>
              </w:rPr>
            </w:pPr>
            <w:r>
              <w:rPr>
                <w:rFonts w:ascii="宋体" w:hAnsi="宋体" w:eastAsia="仿宋_GB2312"/>
                <w:kern w:val="0"/>
                <w:sz w:val="24"/>
              </w:rPr>
              <w:t>1</w:t>
            </w:r>
          </w:p>
        </w:tc>
        <w:tc>
          <w:tcPr>
            <w:tcW w:w="9031" w:type="dxa"/>
            <w:vAlign w:val="center"/>
          </w:tcPr>
          <w:p w14:paraId="07331463">
            <w:pPr>
              <w:spacing w:line="440" w:lineRule="exact"/>
              <w:jc w:val="left"/>
              <w:rPr>
                <w:rFonts w:ascii="宋体"/>
                <w:kern w:val="0"/>
                <w:sz w:val="24"/>
              </w:rPr>
            </w:pPr>
            <w:r>
              <w:rPr>
                <w:rFonts w:hint="eastAsia" w:ascii="宋体" w:hAnsi="宋体"/>
                <w:bCs/>
                <w:kern w:val="0"/>
                <w:sz w:val="24"/>
              </w:rPr>
              <w:t>发榜项目名称：深井复杂条件超长工作面围岩变形破坏规律及关键控制技术研究</w:t>
            </w:r>
          </w:p>
        </w:tc>
      </w:tr>
      <w:tr w14:paraId="1EED2D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711" w:type="dxa"/>
            <w:vAlign w:val="center"/>
          </w:tcPr>
          <w:p w14:paraId="2BF95C00">
            <w:pPr>
              <w:autoSpaceDE w:val="0"/>
              <w:autoSpaceDN w:val="0"/>
              <w:adjustRightInd w:val="0"/>
              <w:jc w:val="center"/>
              <w:rPr>
                <w:rFonts w:hint="eastAsia" w:ascii="宋体" w:hAnsi="宋体" w:eastAsia="仿宋_GB2312"/>
                <w:kern w:val="0"/>
                <w:sz w:val="24"/>
              </w:rPr>
            </w:pPr>
            <w:r>
              <w:rPr>
                <w:rFonts w:hint="eastAsia" w:ascii="宋体" w:hAnsi="宋体" w:eastAsia="仿宋_GB2312"/>
                <w:kern w:val="0"/>
                <w:sz w:val="24"/>
              </w:rPr>
              <w:t>2</w:t>
            </w:r>
          </w:p>
        </w:tc>
        <w:tc>
          <w:tcPr>
            <w:tcW w:w="9031" w:type="dxa"/>
            <w:vAlign w:val="center"/>
          </w:tcPr>
          <w:p w14:paraId="3D718202">
            <w:pPr>
              <w:spacing w:line="360" w:lineRule="auto"/>
              <w:jc w:val="left"/>
              <w:rPr>
                <w:rFonts w:hint="eastAsia" w:ascii="宋体" w:hAnsi="宋体"/>
                <w:bCs/>
                <w:kern w:val="0"/>
                <w:sz w:val="24"/>
              </w:rPr>
            </w:pPr>
            <w:r>
              <w:rPr>
                <w:rFonts w:hint="eastAsia" w:ascii="宋体" w:hAnsi="宋体"/>
                <w:bCs/>
                <w:kern w:val="0"/>
                <w:sz w:val="24"/>
              </w:rPr>
              <w:t>项目资金来源：项目单位自筹</w:t>
            </w:r>
          </w:p>
        </w:tc>
      </w:tr>
      <w:tr w14:paraId="0C6E9D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711" w:type="dxa"/>
            <w:vAlign w:val="center"/>
          </w:tcPr>
          <w:p w14:paraId="55C41110">
            <w:pPr>
              <w:autoSpaceDE w:val="0"/>
              <w:autoSpaceDN w:val="0"/>
              <w:adjustRightInd w:val="0"/>
              <w:jc w:val="center"/>
              <w:rPr>
                <w:rFonts w:hint="eastAsia" w:ascii="宋体" w:hAnsi="宋体" w:eastAsia="仿宋_GB2312"/>
                <w:kern w:val="0"/>
                <w:sz w:val="24"/>
              </w:rPr>
            </w:pPr>
            <w:r>
              <w:rPr>
                <w:rFonts w:hint="eastAsia" w:ascii="宋体" w:hAnsi="宋体" w:eastAsia="仿宋_GB2312"/>
                <w:kern w:val="0"/>
                <w:sz w:val="24"/>
              </w:rPr>
              <w:t>3</w:t>
            </w:r>
          </w:p>
        </w:tc>
        <w:tc>
          <w:tcPr>
            <w:tcW w:w="9031" w:type="dxa"/>
            <w:vAlign w:val="center"/>
          </w:tcPr>
          <w:p w14:paraId="4A3C5BFD">
            <w:pPr>
              <w:spacing w:line="360" w:lineRule="auto"/>
              <w:jc w:val="left"/>
              <w:rPr>
                <w:rFonts w:hint="eastAsia" w:ascii="宋体" w:hAnsi="宋体"/>
                <w:bCs/>
                <w:kern w:val="0"/>
                <w:sz w:val="24"/>
              </w:rPr>
            </w:pPr>
            <w:r>
              <w:rPr>
                <w:rFonts w:hint="eastAsia" w:ascii="宋体" w:hAnsi="宋体"/>
                <w:bCs/>
                <w:kern w:val="0"/>
                <w:sz w:val="24"/>
              </w:rPr>
              <w:t>研发费用：该项目的委外合作研发费用预算不高于12</w:t>
            </w:r>
            <w:r>
              <w:rPr>
                <w:rFonts w:ascii="宋体" w:hAnsi="宋体"/>
                <w:bCs/>
                <w:kern w:val="0"/>
                <w:sz w:val="24"/>
              </w:rPr>
              <w:t>0</w:t>
            </w:r>
            <w:r>
              <w:rPr>
                <w:rFonts w:hint="eastAsia" w:ascii="宋体" w:hAnsi="宋体"/>
                <w:bCs/>
                <w:kern w:val="0"/>
                <w:sz w:val="24"/>
              </w:rPr>
              <w:t>万元。</w:t>
            </w:r>
          </w:p>
        </w:tc>
      </w:tr>
      <w:tr w14:paraId="3F641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trPr>
        <w:tc>
          <w:tcPr>
            <w:tcW w:w="711" w:type="dxa"/>
            <w:vAlign w:val="center"/>
          </w:tcPr>
          <w:p w14:paraId="482D17FD">
            <w:pPr>
              <w:autoSpaceDE w:val="0"/>
              <w:autoSpaceDN w:val="0"/>
              <w:adjustRightInd w:val="0"/>
              <w:jc w:val="center"/>
              <w:rPr>
                <w:rFonts w:hint="eastAsia" w:ascii="宋体" w:hAnsi="宋体" w:eastAsia="仿宋_GB2312"/>
                <w:kern w:val="0"/>
                <w:sz w:val="24"/>
              </w:rPr>
            </w:pPr>
            <w:r>
              <w:rPr>
                <w:rFonts w:hint="eastAsia" w:ascii="宋体" w:hAnsi="宋体" w:eastAsia="仿宋_GB2312"/>
                <w:kern w:val="0"/>
                <w:sz w:val="24"/>
              </w:rPr>
              <w:t>4</w:t>
            </w:r>
          </w:p>
        </w:tc>
        <w:tc>
          <w:tcPr>
            <w:tcW w:w="9031" w:type="dxa"/>
            <w:vAlign w:val="center"/>
          </w:tcPr>
          <w:p w14:paraId="23A3EE7D">
            <w:pPr>
              <w:pStyle w:val="98"/>
              <w:spacing w:line="360" w:lineRule="auto"/>
              <w:jc w:val="left"/>
              <w:rPr>
                <w:rFonts w:ascii="宋体"/>
              </w:rPr>
            </w:pPr>
            <w:r>
              <w:rPr>
                <w:rFonts w:hint="eastAsia" w:ascii="Times New Roman" w:hAnsi="Times New Roman"/>
              </w:rPr>
              <w:t>榜单发布时间：</w:t>
            </w:r>
            <w:r>
              <w:rPr>
                <w:rFonts w:ascii="Times New Roman" w:hAnsi="Times New Roman"/>
                <w:highlight w:val="none"/>
              </w:rPr>
              <w:t>20</w:t>
            </w:r>
            <w:r>
              <w:rPr>
                <w:rFonts w:hint="eastAsia" w:ascii="Times New Roman" w:hAnsi="Times New Roman"/>
                <w:highlight w:val="none"/>
              </w:rPr>
              <w:t>25年3月</w:t>
            </w:r>
            <w:r>
              <w:rPr>
                <w:rFonts w:hint="eastAsia" w:ascii="Times New Roman" w:hAnsi="Times New Roman"/>
                <w:highlight w:val="none"/>
                <w:lang w:val="en-US" w:eastAsia="zh-CN"/>
              </w:rPr>
              <w:t>13</w:t>
            </w:r>
            <w:r>
              <w:rPr>
                <w:rFonts w:hint="eastAsia" w:ascii="Times New Roman" w:hAnsi="Times New Roman"/>
                <w:highlight w:val="none"/>
              </w:rPr>
              <w:t>日</w:t>
            </w:r>
          </w:p>
        </w:tc>
      </w:tr>
      <w:tr w14:paraId="7F06BA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trPr>
        <w:tc>
          <w:tcPr>
            <w:tcW w:w="711" w:type="dxa"/>
            <w:vAlign w:val="center"/>
          </w:tcPr>
          <w:p w14:paraId="623B2709">
            <w:pPr>
              <w:autoSpaceDE w:val="0"/>
              <w:autoSpaceDN w:val="0"/>
              <w:adjustRightInd w:val="0"/>
              <w:jc w:val="center"/>
              <w:rPr>
                <w:rFonts w:hint="eastAsia" w:ascii="宋体" w:hAnsi="宋体" w:eastAsia="仿宋_GB2312"/>
                <w:kern w:val="0"/>
                <w:sz w:val="24"/>
              </w:rPr>
            </w:pPr>
            <w:r>
              <w:rPr>
                <w:rFonts w:hint="eastAsia" w:ascii="宋体" w:hAnsi="宋体" w:eastAsia="仿宋_GB2312"/>
                <w:kern w:val="0"/>
                <w:sz w:val="24"/>
              </w:rPr>
              <w:t>5</w:t>
            </w:r>
          </w:p>
        </w:tc>
        <w:tc>
          <w:tcPr>
            <w:tcW w:w="9031" w:type="dxa"/>
            <w:vAlign w:val="center"/>
          </w:tcPr>
          <w:p w14:paraId="7044C6E1">
            <w:pPr>
              <w:pStyle w:val="98"/>
              <w:spacing w:line="360" w:lineRule="auto"/>
              <w:rPr>
                <w:rFonts w:hint="eastAsia" w:ascii="宋体" w:hAnsi="宋体"/>
                <w:bCs/>
              </w:rPr>
            </w:pPr>
            <w:r>
              <w:rPr>
                <w:rFonts w:hint="eastAsia" w:ascii="宋体" w:hAnsi="宋体"/>
                <w:bCs/>
              </w:rPr>
              <w:t>揭榜方应具备的基本条件：</w:t>
            </w:r>
          </w:p>
          <w:p w14:paraId="5C3611A1">
            <w:pPr>
              <w:pStyle w:val="98"/>
              <w:spacing w:line="360" w:lineRule="auto"/>
              <w:rPr>
                <w:rFonts w:hint="eastAsia" w:ascii="宋体" w:hAnsi="宋体"/>
                <w:bCs/>
              </w:rPr>
            </w:pPr>
            <w:r>
              <w:rPr>
                <w:rFonts w:hint="eastAsia" w:ascii="宋体" w:hAnsi="宋体"/>
                <w:bCs/>
              </w:rPr>
              <w:t>（一）揭榜方所在单位具备良好的工作基础、实验条件和科研环境，有较强的研发实力、科研条件和稳定的人员队伍等，有能力完成张榜任务；具有良好的科研道德和社会诚信，近</w:t>
            </w:r>
            <w:r>
              <w:rPr>
                <w:rFonts w:ascii="宋体" w:hAnsi="宋体"/>
                <w:bCs/>
              </w:rPr>
              <w:t>3年内无不良信用记录；</w:t>
            </w:r>
            <w:r>
              <w:rPr>
                <w:rFonts w:hint="eastAsia" w:ascii="宋体" w:hAnsi="宋体"/>
                <w:bCs/>
              </w:rPr>
              <w:t>一般近5年内</w:t>
            </w:r>
            <w:r>
              <w:rPr>
                <w:rFonts w:ascii="宋体" w:hAnsi="宋体"/>
                <w:bCs/>
              </w:rPr>
              <w:t>取得过国家</w:t>
            </w:r>
            <w:r>
              <w:rPr>
                <w:rFonts w:hint="eastAsia" w:ascii="宋体" w:hAnsi="宋体"/>
                <w:bCs/>
              </w:rPr>
              <w:t>级科技攻关项目</w:t>
            </w:r>
            <w:r>
              <w:rPr>
                <w:rFonts w:ascii="宋体" w:hAnsi="宋体"/>
                <w:bCs/>
              </w:rPr>
              <w:t>3</w:t>
            </w:r>
            <w:r>
              <w:rPr>
                <w:rFonts w:hint="eastAsia" w:ascii="宋体" w:hAnsi="宋体"/>
                <w:bCs/>
              </w:rPr>
              <w:t>项，获得过</w:t>
            </w:r>
            <w:r>
              <w:rPr>
                <w:rFonts w:ascii="宋体" w:hAnsi="宋体"/>
                <w:bCs/>
              </w:rPr>
              <w:t>国家</w:t>
            </w:r>
            <w:r>
              <w:rPr>
                <w:rFonts w:hint="eastAsia" w:ascii="宋体" w:hAnsi="宋体"/>
                <w:bCs/>
              </w:rPr>
              <w:t>和</w:t>
            </w:r>
            <w:r>
              <w:rPr>
                <w:rFonts w:ascii="宋体" w:hAnsi="宋体"/>
                <w:bCs/>
              </w:rPr>
              <w:t>省</w:t>
            </w:r>
            <w:r>
              <w:rPr>
                <w:rFonts w:hint="eastAsia" w:ascii="宋体" w:hAnsi="宋体"/>
                <w:bCs/>
              </w:rPr>
              <w:t>部级、行业级的科学技术奖</w:t>
            </w:r>
            <w:r>
              <w:rPr>
                <w:rFonts w:ascii="宋体" w:hAnsi="宋体"/>
                <w:bCs/>
              </w:rPr>
              <w:t>5项并具有一定的持续发展能力。</w:t>
            </w:r>
          </w:p>
          <w:p w14:paraId="551E82A3">
            <w:pPr>
              <w:pStyle w:val="98"/>
              <w:spacing w:line="360" w:lineRule="auto"/>
              <w:rPr>
                <w:rFonts w:hint="eastAsia" w:ascii="宋体" w:hAnsi="宋体"/>
                <w:bCs/>
              </w:rPr>
            </w:pPr>
            <w:r>
              <w:rPr>
                <w:rFonts w:hint="eastAsia" w:ascii="宋体" w:hAnsi="宋体"/>
                <w:bCs/>
              </w:rPr>
              <w:t>（二）揭榜方挂帅者实行“谁有能力谁就揭榜挂帅”的原则。挂帅者作为研发团队带头人，无年龄、学历和职称要求，但应在复杂条件煤矿开采及岩层控制相关学科技术领域中已取得较为突出的创新成果，有良好的科学道德和严谨的学风，能对张榜项目需求给出攻克关键核心技术的可行方案，掌握自主知识产权，近5年有和工作面巷道围岩变形规律及控制技术相关的省部级科技进步奖不少于3项，相关发明专利不少于5件，参与相关的合作项目不少于6项（提供合同），对本学科领域的发展具有重要推动作用，有时间和精力从事揭榜项目研究工作。</w:t>
            </w:r>
          </w:p>
          <w:p w14:paraId="024F8C86">
            <w:pPr>
              <w:pStyle w:val="98"/>
              <w:spacing w:line="360" w:lineRule="auto"/>
              <w:rPr>
                <w:rFonts w:ascii="Times New Roman" w:hAnsi="Times New Roman"/>
              </w:rPr>
            </w:pPr>
            <w:r>
              <w:rPr>
                <w:rFonts w:hint="eastAsia" w:ascii="宋体" w:hAnsi="宋体"/>
                <w:bCs/>
              </w:rPr>
              <w:t>（三）揭榜方参与本项目的科研团队除挂帅者之外一般应有至少</w:t>
            </w:r>
            <w:r>
              <w:rPr>
                <w:rFonts w:ascii="宋体" w:hAnsi="宋体"/>
                <w:bCs/>
              </w:rPr>
              <w:t>1</w:t>
            </w:r>
            <w:r>
              <w:rPr>
                <w:rFonts w:hint="eastAsia" w:ascii="宋体" w:hAnsi="宋体"/>
                <w:bCs/>
              </w:rPr>
              <w:t>名副高级职称或博士学位的核心人员（特别优秀创新人才不受限制），专业结构合理。团队研究方向和主要研究课题符合集团公司发展领域和优势产业发展的要求，已取得突出成绩或具有明显的创新潜力。</w:t>
            </w:r>
          </w:p>
        </w:tc>
      </w:tr>
      <w:tr w14:paraId="2E34D1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trPr>
        <w:tc>
          <w:tcPr>
            <w:tcW w:w="711" w:type="dxa"/>
            <w:vAlign w:val="center"/>
          </w:tcPr>
          <w:p w14:paraId="3AA72FFD">
            <w:pPr>
              <w:autoSpaceDE w:val="0"/>
              <w:autoSpaceDN w:val="0"/>
              <w:adjustRightInd w:val="0"/>
              <w:jc w:val="center"/>
              <w:rPr>
                <w:rFonts w:hint="eastAsia" w:ascii="宋体" w:hAnsi="宋体" w:eastAsia="仿宋_GB2312"/>
                <w:kern w:val="0"/>
                <w:sz w:val="24"/>
              </w:rPr>
            </w:pPr>
            <w:r>
              <w:rPr>
                <w:rFonts w:hint="eastAsia" w:ascii="宋体" w:hAnsi="宋体" w:eastAsia="仿宋_GB2312"/>
                <w:kern w:val="0"/>
                <w:sz w:val="24"/>
              </w:rPr>
              <w:t>6</w:t>
            </w:r>
          </w:p>
        </w:tc>
        <w:tc>
          <w:tcPr>
            <w:tcW w:w="9031" w:type="dxa"/>
            <w:vAlign w:val="center"/>
          </w:tcPr>
          <w:p w14:paraId="11BF2098">
            <w:pPr>
              <w:autoSpaceDE w:val="0"/>
              <w:autoSpaceDN w:val="0"/>
              <w:adjustRightInd w:val="0"/>
              <w:spacing w:line="360" w:lineRule="auto"/>
              <w:jc w:val="left"/>
              <w:rPr>
                <w:rFonts w:ascii="宋体"/>
                <w:kern w:val="0"/>
                <w:sz w:val="24"/>
              </w:rPr>
            </w:pPr>
            <w:r>
              <w:rPr>
                <w:rFonts w:hint="eastAsia" w:ascii="宋体" w:hAnsi="宋体"/>
                <w:kern w:val="0"/>
                <w:sz w:val="24"/>
              </w:rPr>
              <w:t>揭榜投榜申请表</w:t>
            </w:r>
            <w:r>
              <w:rPr>
                <w:rFonts w:hint="eastAsia" w:ascii="宋体" w:hAnsi="宋体"/>
                <w:kern w:val="0"/>
                <w:sz w:val="24"/>
                <w:lang w:val="en-US" w:eastAsia="zh-CN"/>
              </w:rPr>
              <w:t>2</w:t>
            </w:r>
            <w:bookmarkStart w:id="36" w:name="_GoBack"/>
            <w:bookmarkEnd w:id="36"/>
            <w:r>
              <w:rPr>
                <w:rFonts w:hint="eastAsia" w:ascii="宋体" w:hAnsi="宋体"/>
                <w:kern w:val="0"/>
                <w:sz w:val="24"/>
              </w:rPr>
              <w:t>份，投榜书：</w:t>
            </w:r>
            <w:r>
              <w:rPr>
                <w:rFonts w:hint="eastAsia" w:ascii="宋体" w:hAnsi="宋体"/>
                <w:b/>
                <w:kern w:val="0"/>
                <w:sz w:val="24"/>
                <w:u w:val="single"/>
                <w:lang w:val="en-US" w:eastAsia="zh-CN"/>
              </w:rPr>
              <w:t>7</w:t>
            </w:r>
            <w:r>
              <w:rPr>
                <w:rFonts w:hint="eastAsia" w:ascii="宋体" w:hAnsi="宋体"/>
                <w:kern w:val="0"/>
                <w:sz w:val="24"/>
              </w:rPr>
              <w:t>套。</w:t>
            </w:r>
          </w:p>
        </w:tc>
      </w:tr>
      <w:tr w14:paraId="2EB420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2" w:hRule="atLeast"/>
        </w:trPr>
        <w:tc>
          <w:tcPr>
            <w:tcW w:w="711" w:type="dxa"/>
            <w:vAlign w:val="center"/>
          </w:tcPr>
          <w:p w14:paraId="63C747BB">
            <w:pPr>
              <w:autoSpaceDE w:val="0"/>
              <w:autoSpaceDN w:val="0"/>
              <w:adjustRightInd w:val="0"/>
              <w:jc w:val="center"/>
              <w:rPr>
                <w:rFonts w:hint="eastAsia" w:ascii="宋体" w:hAnsi="宋体" w:eastAsia="仿宋_GB2312"/>
                <w:kern w:val="0"/>
                <w:sz w:val="24"/>
              </w:rPr>
            </w:pPr>
            <w:r>
              <w:rPr>
                <w:rFonts w:hint="eastAsia" w:ascii="宋体" w:hAnsi="宋体" w:eastAsia="仿宋_GB2312"/>
                <w:kern w:val="0"/>
                <w:sz w:val="24"/>
              </w:rPr>
              <w:t>7</w:t>
            </w:r>
          </w:p>
        </w:tc>
        <w:tc>
          <w:tcPr>
            <w:tcW w:w="9031" w:type="dxa"/>
            <w:vAlign w:val="center"/>
          </w:tcPr>
          <w:p w14:paraId="4CAFD7CA">
            <w:pPr>
              <w:pStyle w:val="98"/>
              <w:spacing w:line="360" w:lineRule="auto"/>
            </w:pPr>
            <w:r>
              <w:rPr>
                <w:rFonts w:hint="eastAsia"/>
              </w:rPr>
              <w:t>揭榜文件递交截止时间</w:t>
            </w:r>
            <w:r>
              <w:rPr>
                <w:rFonts w:hint="eastAsia" w:ascii="宋体" w:hAnsi="宋体"/>
                <w:bCs/>
              </w:rPr>
              <w:t>：2025年</w:t>
            </w:r>
            <w:r>
              <w:rPr>
                <w:rFonts w:ascii="宋体" w:hAnsi="宋体"/>
                <w:bCs/>
              </w:rPr>
              <w:t>3</w:t>
            </w:r>
            <w:r>
              <w:rPr>
                <w:rFonts w:hint="eastAsia" w:ascii="宋体" w:hAnsi="宋体"/>
                <w:bCs/>
                <w:highlight w:val="none"/>
              </w:rPr>
              <w:t>月</w:t>
            </w:r>
            <w:r>
              <w:rPr>
                <w:rFonts w:hint="eastAsia" w:ascii="宋体" w:hAnsi="宋体"/>
                <w:bCs/>
                <w:highlight w:val="none"/>
                <w:lang w:val="en-US" w:eastAsia="zh-CN"/>
              </w:rPr>
              <w:t>20</w:t>
            </w:r>
            <w:r>
              <w:rPr>
                <w:rFonts w:hint="eastAsia" w:ascii="宋体" w:hAnsi="宋体"/>
                <w:bCs/>
                <w:highlight w:val="none"/>
              </w:rPr>
              <w:t>日2</w:t>
            </w:r>
            <w:r>
              <w:rPr>
                <w:rFonts w:hint="eastAsia" w:ascii="宋体" w:hAnsi="宋体"/>
                <w:bCs/>
              </w:rPr>
              <w:t>4时00分（北</w:t>
            </w:r>
            <w:r>
              <w:rPr>
                <w:rFonts w:hint="eastAsia"/>
              </w:rPr>
              <w:t>京时间）</w:t>
            </w:r>
          </w:p>
        </w:tc>
      </w:tr>
      <w:tr w14:paraId="508769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6" w:hRule="atLeast"/>
        </w:trPr>
        <w:tc>
          <w:tcPr>
            <w:tcW w:w="711" w:type="dxa"/>
            <w:vAlign w:val="center"/>
          </w:tcPr>
          <w:p w14:paraId="7CC96567">
            <w:pPr>
              <w:autoSpaceDE w:val="0"/>
              <w:autoSpaceDN w:val="0"/>
              <w:adjustRightInd w:val="0"/>
              <w:jc w:val="center"/>
              <w:rPr>
                <w:rFonts w:hint="eastAsia" w:ascii="宋体" w:hAnsi="宋体" w:eastAsia="仿宋_GB2312"/>
                <w:kern w:val="0"/>
                <w:sz w:val="24"/>
              </w:rPr>
            </w:pPr>
            <w:r>
              <w:rPr>
                <w:rFonts w:hint="eastAsia" w:ascii="宋体" w:hAnsi="宋体" w:eastAsia="仿宋_GB2312"/>
                <w:kern w:val="0"/>
                <w:sz w:val="24"/>
              </w:rPr>
              <w:t>8</w:t>
            </w:r>
          </w:p>
        </w:tc>
        <w:tc>
          <w:tcPr>
            <w:tcW w:w="9031" w:type="dxa"/>
            <w:vAlign w:val="center"/>
          </w:tcPr>
          <w:p w14:paraId="5D3D61C0">
            <w:pPr>
              <w:pStyle w:val="98"/>
              <w:spacing w:line="360" w:lineRule="auto"/>
            </w:pPr>
            <w:r>
              <w:rPr>
                <w:rFonts w:hint="eastAsia"/>
              </w:rPr>
              <w:t>评榜地点：河南省永城市新城区光明路中段永煤集团会议室（暂定）</w:t>
            </w:r>
          </w:p>
        </w:tc>
      </w:tr>
      <w:tr w14:paraId="26F2E7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06" w:hRule="atLeast"/>
        </w:trPr>
        <w:tc>
          <w:tcPr>
            <w:tcW w:w="711" w:type="dxa"/>
            <w:vAlign w:val="center"/>
          </w:tcPr>
          <w:p w14:paraId="1BE81842">
            <w:pPr>
              <w:autoSpaceDE w:val="0"/>
              <w:autoSpaceDN w:val="0"/>
              <w:adjustRightInd w:val="0"/>
              <w:jc w:val="center"/>
              <w:rPr>
                <w:rFonts w:hint="eastAsia" w:ascii="宋体" w:hAnsi="宋体" w:eastAsia="仿宋_GB2312"/>
                <w:kern w:val="0"/>
                <w:sz w:val="24"/>
              </w:rPr>
            </w:pPr>
            <w:r>
              <w:rPr>
                <w:rFonts w:hint="eastAsia" w:ascii="宋体" w:hAnsi="宋体" w:eastAsia="仿宋_GB2312"/>
                <w:kern w:val="0"/>
                <w:sz w:val="24"/>
              </w:rPr>
              <w:t>9</w:t>
            </w:r>
          </w:p>
        </w:tc>
        <w:tc>
          <w:tcPr>
            <w:tcW w:w="9031" w:type="dxa"/>
            <w:vAlign w:val="center"/>
          </w:tcPr>
          <w:p w14:paraId="210BF0F4">
            <w:pPr>
              <w:pStyle w:val="98"/>
              <w:spacing w:line="360" w:lineRule="auto"/>
            </w:pPr>
            <w:r>
              <w:rPr>
                <w:rFonts w:hint="eastAsia"/>
              </w:rPr>
              <w:t>有关费用：揭榜人承担其投榜书编制与递交、评估等所涉及的一切费用。在任何情况下发榜人对上述费用均不承担任何责任和义务。</w:t>
            </w:r>
          </w:p>
        </w:tc>
      </w:tr>
      <w:tr w14:paraId="033955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54" w:hRule="atLeast"/>
        </w:trPr>
        <w:tc>
          <w:tcPr>
            <w:tcW w:w="711" w:type="dxa"/>
            <w:vAlign w:val="center"/>
          </w:tcPr>
          <w:p w14:paraId="551438E4">
            <w:pPr>
              <w:autoSpaceDE w:val="0"/>
              <w:autoSpaceDN w:val="0"/>
              <w:adjustRightInd w:val="0"/>
              <w:jc w:val="center"/>
              <w:rPr>
                <w:rFonts w:hint="eastAsia" w:ascii="宋体" w:hAnsi="宋体" w:eastAsia="仿宋_GB2312"/>
                <w:kern w:val="0"/>
                <w:sz w:val="24"/>
              </w:rPr>
            </w:pPr>
            <w:r>
              <w:rPr>
                <w:rFonts w:hint="eastAsia" w:ascii="宋体" w:hAnsi="宋体" w:eastAsia="仿宋_GB2312"/>
                <w:kern w:val="0"/>
                <w:sz w:val="24"/>
              </w:rPr>
              <w:t>10</w:t>
            </w:r>
          </w:p>
        </w:tc>
        <w:tc>
          <w:tcPr>
            <w:tcW w:w="9031" w:type="dxa"/>
            <w:vAlign w:val="center"/>
          </w:tcPr>
          <w:p w14:paraId="0A13DA5D">
            <w:pPr>
              <w:autoSpaceDE w:val="0"/>
              <w:autoSpaceDN w:val="0"/>
              <w:adjustRightInd w:val="0"/>
              <w:spacing w:line="360" w:lineRule="auto"/>
              <w:jc w:val="left"/>
              <w:rPr>
                <w:sz w:val="24"/>
              </w:rPr>
            </w:pPr>
            <w:r>
              <w:rPr>
                <w:rFonts w:hint="eastAsia"/>
                <w:sz w:val="24"/>
              </w:rPr>
              <w:t>有关评估活动的文电请与下属地址联系：</w:t>
            </w:r>
          </w:p>
          <w:p w14:paraId="620B56E0">
            <w:pPr>
              <w:autoSpaceDE w:val="0"/>
              <w:autoSpaceDN w:val="0"/>
              <w:adjustRightInd w:val="0"/>
              <w:spacing w:line="360" w:lineRule="auto"/>
              <w:jc w:val="left"/>
              <w:rPr>
                <w:sz w:val="24"/>
              </w:rPr>
            </w:pPr>
            <w:r>
              <w:rPr>
                <w:rFonts w:hint="eastAsia"/>
                <w:sz w:val="24"/>
              </w:rPr>
              <w:t>发榜人：</w:t>
            </w:r>
            <w:r>
              <w:rPr>
                <w:rFonts w:hint="eastAsia" w:ascii="宋体" w:hAnsi="宋体"/>
                <w:kern w:val="0"/>
                <w:sz w:val="24"/>
              </w:rPr>
              <w:t>永城煤电控股集团有限公司</w:t>
            </w:r>
          </w:p>
          <w:p w14:paraId="36155BF2">
            <w:pPr>
              <w:autoSpaceDE w:val="0"/>
              <w:autoSpaceDN w:val="0"/>
              <w:adjustRightInd w:val="0"/>
              <w:spacing w:line="360" w:lineRule="auto"/>
              <w:jc w:val="left"/>
              <w:rPr>
                <w:sz w:val="24"/>
              </w:rPr>
            </w:pPr>
            <w:r>
              <w:rPr>
                <w:rFonts w:hint="eastAsia"/>
                <w:sz w:val="24"/>
              </w:rPr>
              <w:t>地址：河南省永城市光明路中段</w:t>
            </w:r>
          </w:p>
          <w:p w14:paraId="49067879">
            <w:pPr>
              <w:autoSpaceDE w:val="0"/>
              <w:autoSpaceDN w:val="0"/>
              <w:adjustRightInd w:val="0"/>
              <w:spacing w:line="360" w:lineRule="auto"/>
              <w:jc w:val="left"/>
              <w:rPr>
                <w:rFonts w:hint="eastAsia" w:eastAsia="宋体"/>
                <w:sz w:val="24"/>
                <w:lang w:eastAsia="zh-CN"/>
              </w:rPr>
            </w:pPr>
            <w:r>
              <w:rPr>
                <w:rFonts w:hint="eastAsia"/>
                <w:sz w:val="24"/>
              </w:rPr>
              <w:t>联系人：刘</w:t>
            </w:r>
            <w:r>
              <w:rPr>
                <w:rFonts w:hint="eastAsia"/>
                <w:sz w:val="24"/>
                <w:lang w:val="en-US" w:eastAsia="zh-CN"/>
              </w:rPr>
              <w:t>宏</w:t>
            </w:r>
          </w:p>
          <w:p w14:paraId="68E9241D">
            <w:pPr>
              <w:spacing w:line="360" w:lineRule="auto"/>
              <w:rPr>
                <w:rFonts w:hint="default" w:ascii="宋体" w:eastAsia="宋体"/>
                <w:kern w:val="0"/>
                <w:sz w:val="24"/>
                <w:lang w:val="en-US" w:eastAsia="zh-CN"/>
              </w:rPr>
            </w:pPr>
            <w:r>
              <w:rPr>
                <w:rFonts w:hint="eastAsia" w:ascii="宋体" w:hAnsi="宋体"/>
                <w:sz w:val="24"/>
              </w:rPr>
              <w:t>电话：</w:t>
            </w:r>
            <w:r>
              <w:rPr>
                <w:rFonts w:ascii="宋体" w:hAnsi="宋体"/>
                <w:sz w:val="24"/>
              </w:rPr>
              <w:t>0370-519</w:t>
            </w:r>
            <w:r>
              <w:rPr>
                <w:rFonts w:hint="eastAsia" w:ascii="宋体" w:hAnsi="宋体"/>
                <w:sz w:val="24"/>
                <w:lang w:val="en-US" w:eastAsia="zh-CN"/>
              </w:rPr>
              <w:t>5306</w:t>
            </w:r>
          </w:p>
        </w:tc>
      </w:tr>
    </w:tbl>
    <w:p w14:paraId="5876FCC6">
      <w:pPr>
        <w:pStyle w:val="2"/>
        <w:numPr>
          <w:ilvl w:val="0"/>
          <w:numId w:val="0"/>
        </w:numPr>
        <w:jc w:val="center"/>
      </w:pPr>
      <w:bookmarkStart w:id="3" w:name="_Toc145730896"/>
      <w:bookmarkStart w:id="4" w:name="_Toc491589962"/>
      <w:bookmarkStart w:id="5" w:name="_Toc231814792"/>
      <w:r>
        <w:rPr>
          <w:rFonts w:hint="eastAsia"/>
        </w:rPr>
        <w:t>二、项目技术要求</w:t>
      </w:r>
    </w:p>
    <w:p w14:paraId="12A08414">
      <w:pPr>
        <w:overflowPunct w:val="0"/>
        <w:spacing w:line="580" w:lineRule="exact"/>
        <w:ind w:firstLine="480" w:firstLineChars="200"/>
        <w:contextualSpacing/>
        <w:rPr>
          <w:rFonts w:hint="eastAsia" w:ascii="宋体" w:hAnsi="宋体"/>
          <w:bCs/>
          <w:sz w:val="24"/>
        </w:rPr>
      </w:pPr>
      <w:r>
        <w:rPr>
          <w:rFonts w:hint="eastAsia" w:ascii="宋体" w:hAnsi="宋体"/>
          <w:bCs/>
          <w:sz w:val="24"/>
        </w:rPr>
        <w:t>（一）研发内容：</w:t>
      </w:r>
    </w:p>
    <w:p w14:paraId="672AB9EB">
      <w:pPr>
        <w:overflowPunct w:val="0"/>
        <w:spacing w:line="580" w:lineRule="exact"/>
        <w:ind w:firstLine="480" w:firstLineChars="200"/>
        <w:contextualSpacing/>
        <w:rPr>
          <w:rFonts w:hint="eastAsia" w:ascii="宋体" w:hAnsi="宋体"/>
          <w:sz w:val="24"/>
        </w:rPr>
      </w:pPr>
      <w:r>
        <w:rPr>
          <w:rFonts w:hint="eastAsia" w:ascii="宋体" w:hAnsi="宋体"/>
          <w:sz w:val="24"/>
        </w:rPr>
        <w:t>1）深部超长首采工作面回采期间应力分布规律及围岩变形特征</w:t>
      </w:r>
    </w:p>
    <w:p w14:paraId="3084B38A">
      <w:pPr>
        <w:overflowPunct w:val="0"/>
        <w:spacing w:line="580" w:lineRule="exact"/>
        <w:ind w:firstLine="480" w:firstLineChars="200"/>
        <w:contextualSpacing/>
        <w:rPr>
          <w:rFonts w:hint="eastAsia" w:ascii="宋体" w:hAnsi="宋体"/>
          <w:sz w:val="24"/>
        </w:rPr>
      </w:pPr>
      <w:r>
        <w:rPr>
          <w:rFonts w:hint="eastAsia" w:ascii="宋体" w:hAnsi="宋体"/>
          <w:sz w:val="24"/>
        </w:rPr>
        <w:t>研究深部超长首采工作面不同回采阶段应力分布变化情况，掌握深部超长首采工作面应力场动态演化特征。实时监测围岩变形情况，研究不同位置围岩顶板下沉、两帮收敛、底板鼓起等渐进变形特征，为支护设计和施工提供科学依据。</w:t>
      </w:r>
    </w:p>
    <w:p w14:paraId="6DE88A2D">
      <w:pPr>
        <w:overflowPunct w:val="0"/>
        <w:spacing w:line="580" w:lineRule="exact"/>
        <w:ind w:firstLine="480" w:firstLineChars="200"/>
        <w:contextualSpacing/>
        <w:rPr>
          <w:rFonts w:hint="eastAsia" w:ascii="宋体" w:hAnsi="宋体"/>
          <w:sz w:val="24"/>
        </w:rPr>
      </w:pPr>
      <w:r>
        <w:rPr>
          <w:rFonts w:hint="eastAsia" w:ascii="宋体" w:hAnsi="宋体"/>
          <w:sz w:val="24"/>
        </w:rPr>
        <w:t>2）深部超长首采工作面回采期间围岩变形影响因素及应对措施</w:t>
      </w:r>
    </w:p>
    <w:p w14:paraId="4A272A86">
      <w:pPr>
        <w:overflowPunct w:val="0"/>
        <w:spacing w:line="580" w:lineRule="exact"/>
        <w:ind w:firstLine="480" w:firstLineChars="200"/>
        <w:contextualSpacing/>
        <w:rPr>
          <w:rFonts w:hint="eastAsia" w:ascii="宋体" w:hAnsi="宋体"/>
          <w:sz w:val="24"/>
        </w:rPr>
      </w:pPr>
      <w:r>
        <w:rPr>
          <w:rFonts w:hint="eastAsia" w:ascii="宋体" w:hAnsi="宋体"/>
          <w:sz w:val="24"/>
        </w:rPr>
        <w:t>研究深部超长首采工作面围岩变形主要影响因素，确定各因素对围岩变形的影响程度，分析优化设计支护参数、调整开采工艺等措施对围岩变形的控制效果，通过现场试验验证措施的有效性，形成深部超长工作面围岩变形控制技术体系。</w:t>
      </w:r>
    </w:p>
    <w:p w14:paraId="5B97413A">
      <w:pPr>
        <w:overflowPunct w:val="0"/>
        <w:spacing w:line="580" w:lineRule="exact"/>
        <w:ind w:firstLine="480" w:firstLineChars="200"/>
        <w:contextualSpacing/>
        <w:rPr>
          <w:rFonts w:hint="eastAsia" w:ascii="宋体" w:hAnsi="宋体"/>
          <w:sz w:val="24"/>
        </w:rPr>
      </w:pPr>
      <w:r>
        <w:rPr>
          <w:rFonts w:hint="eastAsia" w:ascii="宋体" w:hAnsi="宋体"/>
          <w:sz w:val="24"/>
        </w:rPr>
        <w:t>3）深部超长首采工作面回采期间两巷超前支护方式优化及效果评估</w:t>
      </w:r>
    </w:p>
    <w:p w14:paraId="39ED13EB">
      <w:pPr>
        <w:overflowPunct w:val="0"/>
        <w:spacing w:line="580" w:lineRule="exact"/>
        <w:ind w:firstLine="480" w:firstLineChars="200"/>
        <w:contextualSpacing/>
        <w:rPr>
          <w:rFonts w:hint="eastAsia" w:ascii="宋体" w:hAnsi="宋体"/>
          <w:sz w:val="24"/>
        </w:rPr>
      </w:pPr>
      <w:r>
        <w:rPr>
          <w:rFonts w:hint="eastAsia" w:ascii="宋体" w:hAnsi="宋体"/>
          <w:sz w:val="24"/>
        </w:rPr>
        <w:t>提出深部超长首采工作面回采期间两巷超前支护方案，研究不同支护方案下两巷围岩的应力分布、变形特征，从力学性能、经济效益、施工可行性等方面对各方案进行综合评价，提出最优超前支护方案，跟踪监测两巷超前支护方案实施效果。</w:t>
      </w:r>
    </w:p>
    <w:p w14:paraId="5721F36A">
      <w:pPr>
        <w:overflowPunct w:val="0"/>
        <w:spacing w:line="580" w:lineRule="exact"/>
        <w:ind w:firstLine="480" w:firstLineChars="200"/>
        <w:contextualSpacing/>
        <w:rPr>
          <w:rFonts w:hint="eastAsia" w:ascii="宋体" w:hAnsi="宋体"/>
          <w:sz w:val="24"/>
        </w:rPr>
      </w:pPr>
      <w:r>
        <w:rPr>
          <w:rFonts w:hint="eastAsia" w:ascii="宋体" w:hAnsi="宋体"/>
          <w:sz w:val="24"/>
        </w:rPr>
        <w:t>4）深部超长首采工作面回采期间安全风险防控及保障体系构建</w:t>
      </w:r>
    </w:p>
    <w:p w14:paraId="006FD446">
      <w:pPr>
        <w:overflowPunct w:val="0"/>
        <w:spacing w:line="580" w:lineRule="exact"/>
        <w:ind w:firstLine="480" w:firstLineChars="200"/>
        <w:contextualSpacing/>
        <w:rPr>
          <w:rFonts w:hint="eastAsia" w:ascii="宋体" w:hAnsi="宋体"/>
          <w:sz w:val="24"/>
        </w:rPr>
      </w:pPr>
      <w:r>
        <w:rPr>
          <w:rFonts w:hint="eastAsia" w:ascii="宋体" w:hAnsi="宋体"/>
          <w:sz w:val="24"/>
        </w:rPr>
        <w:t>系统研究深部超长首采工作面回采期间安全风险，分析各风险因素的致灾机理和触发条件。构建深部超长首采工作面回采期间安全保障体系，研究该体系有效运行机制，通过现场实践验证其保障能力，确保工作面回采过程安全性。</w:t>
      </w:r>
    </w:p>
    <w:p w14:paraId="5D2F37AD">
      <w:pPr>
        <w:overflowPunct w:val="0"/>
        <w:spacing w:line="580" w:lineRule="exact"/>
        <w:ind w:firstLine="480" w:firstLineChars="200"/>
        <w:contextualSpacing/>
        <w:rPr>
          <w:rFonts w:hint="eastAsia" w:ascii="宋体" w:hAnsi="宋体"/>
          <w:sz w:val="24"/>
        </w:rPr>
      </w:pPr>
      <w:r>
        <w:rPr>
          <w:rFonts w:hint="eastAsia" w:ascii="宋体" w:hAnsi="宋体"/>
          <w:sz w:val="24"/>
        </w:rPr>
        <w:t>5）深部超长首采工作面回采期间的高效施工组织与安全管理措施</w:t>
      </w:r>
    </w:p>
    <w:p w14:paraId="1EC796D2">
      <w:pPr>
        <w:overflowPunct w:val="0"/>
        <w:spacing w:line="580" w:lineRule="exact"/>
        <w:ind w:firstLine="480" w:firstLineChars="200"/>
        <w:contextualSpacing/>
        <w:rPr>
          <w:rFonts w:hint="eastAsia" w:ascii="宋体" w:hAnsi="宋体"/>
          <w:sz w:val="24"/>
        </w:rPr>
      </w:pPr>
      <w:r>
        <w:rPr>
          <w:rFonts w:hint="eastAsia" w:ascii="宋体" w:hAnsi="宋体"/>
          <w:sz w:val="24"/>
        </w:rPr>
        <w:t>研究深部超长首采工作面高效施工组织方案，通过合理安排生产工序、协调采掘关系，合理安排各工序的作业时间和顺序，提高设备的开机率和工时利用率，提高工作面推进速度和资源回收率，为深部超长首采工作面安全高效回采提供有力保障。</w:t>
      </w:r>
    </w:p>
    <w:p w14:paraId="0718C826">
      <w:pPr>
        <w:overflowPunct w:val="0"/>
        <w:spacing w:line="580" w:lineRule="exact"/>
        <w:ind w:firstLine="480" w:firstLineChars="200"/>
        <w:contextualSpacing/>
        <w:rPr>
          <w:rFonts w:hint="eastAsia" w:ascii="宋体" w:hAnsi="宋体"/>
          <w:bCs/>
          <w:sz w:val="24"/>
        </w:rPr>
      </w:pPr>
      <w:r>
        <w:rPr>
          <w:rFonts w:hint="eastAsia" w:ascii="宋体" w:hAnsi="宋体"/>
          <w:bCs/>
          <w:sz w:val="24"/>
        </w:rPr>
        <w:t>（二）研发目标：</w:t>
      </w:r>
    </w:p>
    <w:p w14:paraId="49B73C18">
      <w:pPr>
        <w:overflowPunct w:val="0"/>
        <w:spacing w:line="580" w:lineRule="exact"/>
        <w:ind w:firstLine="480" w:firstLineChars="200"/>
        <w:contextualSpacing/>
        <w:rPr>
          <w:bCs/>
          <w:sz w:val="24"/>
        </w:rPr>
      </w:pPr>
      <w:r>
        <w:rPr>
          <w:rFonts w:hint="eastAsia"/>
          <w:bCs/>
          <w:sz w:val="24"/>
        </w:rPr>
        <w:t>1）构建深部超长首采工作面地质条件三维地质力学模型，掌握深部超长首采工作面在不同回采阶段的应力分布变化规律，精确确定应力集中区域、应力释放区域的范围和程度，以及不同开采阶段应力峰值的变化情况。得出开采过程中超长工作面围岩的变形特征，包括围岩的位移变化、破裂发展进程以及不同开采阶段围岩变形情况。</w:t>
      </w:r>
    </w:p>
    <w:p w14:paraId="4E8AB61A">
      <w:pPr>
        <w:overflowPunct w:val="0"/>
        <w:spacing w:line="580" w:lineRule="exact"/>
        <w:ind w:firstLine="480" w:firstLineChars="200"/>
        <w:contextualSpacing/>
        <w:rPr>
          <w:bCs/>
          <w:sz w:val="24"/>
        </w:rPr>
      </w:pPr>
      <w:r>
        <w:rPr>
          <w:bCs/>
          <w:sz w:val="24"/>
        </w:rPr>
        <w:t>2</w:t>
      </w:r>
      <w:r>
        <w:rPr>
          <w:rFonts w:hint="eastAsia"/>
          <w:bCs/>
          <w:sz w:val="24"/>
        </w:rPr>
        <w:t>）建立适用于深部超长首采工作面的综合监测体系，提高应力和围岩变形监测信息的准确性和及时性，为回采期间的安全决策提供有力的数据支撑。</w:t>
      </w:r>
    </w:p>
    <w:p w14:paraId="3A78E108">
      <w:pPr>
        <w:overflowPunct w:val="0"/>
        <w:spacing w:line="580" w:lineRule="exact"/>
        <w:ind w:firstLine="480" w:firstLineChars="200"/>
        <w:contextualSpacing/>
        <w:rPr>
          <w:bCs/>
          <w:sz w:val="24"/>
        </w:rPr>
      </w:pPr>
      <w:r>
        <w:rPr>
          <w:bCs/>
          <w:sz w:val="24"/>
        </w:rPr>
        <w:t>3</w:t>
      </w:r>
      <w:r>
        <w:rPr>
          <w:rFonts w:hint="eastAsia"/>
          <w:bCs/>
          <w:sz w:val="24"/>
        </w:rPr>
        <w:t>）提出深部超长首采工作面回采期间巷道超前段围岩控制技术和方案，有效控制巷道超前段围岩变形和破坏，保障巷道的稳定性和回采工作的正常进行。</w:t>
      </w:r>
    </w:p>
    <w:p w14:paraId="4A5DC4BA">
      <w:pPr>
        <w:overflowPunct w:val="0"/>
        <w:spacing w:line="580" w:lineRule="exact"/>
        <w:ind w:firstLine="480" w:firstLineChars="200"/>
        <w:contextualSpacing/>
        <w:rPr>
          <w:bCs/>
          <w:sz w:val="24"/>
        </w:rPr>
      </w:pPr>
      <w:r>
        <w:rPr>
          <w:bCs/>
          <w:sz w:val="24"/>
        </w:rPr>
        <w:t>4</w:t>
      </w:r>
      <w:r>
        <w:rPr>
          <w:rFonts w:hint="eastAsia"/>
          <w:bCs/>
          <w:sz w:val="24"/>
        </w:rPr>
        <w:t>）通过优化开采设计和支护方案，降低深部超长首采工作面回采期间的巷道维护成本，减少因巷道失稳而导致的返修维修费用。</w:t>
      </w:r>
    </w:p>
    <w:p w14:paraId="0A50DEBA">
      <w:pPr>
        <w:overflowPunct w:val="0"/>
        <w:spacing w:line="580" w:lineRule="exact"/>
        <w:ind w:firstLine="480" w:firstLineChars="200"/>
        <w:contextualSpacing/>
        <w:rPr>
          <w:bCs/>
          <w:sz w:val="24"/>
        </w:rPr>
      </w:pPr>
      <w:r>
        <w:rPr>
          <w:bCs/>
          <w:sz w:val="24"/>
        </w:rPr>
        <w:t>5</w:t>
      </w:r>
      <w:r>
        <w:rPr>
          <w:rFonts w:hint="eastAsia"/>
          <w:bCs/>
          <w:sz w:val="24"/>
        </w:rPr>
        <w:t>）优化深部超长首采工作面回采工艺，提高煤炭回采率，减少围岩破坏造成的煤炭资源损失，提高资源采出率，降低生产成本。</w:t>
      </w:r>
    </w:p>
    <w:p w14:paraId="7C323629">
      <w:pPr>
        <w:overflowPunct w:val="0"/>
        <w:spacing w:line="580" w:lineRule="exact"/>
        <w:ind w:firstLine="480" w:firstLineChars="200"/>
        <w:contextualSpacing/>
        <w:rPr>
          <w:bCs/>
          <w:sz w:val="24"/>
        </w:rPr>
      </w:pPr>
      <w:r>
        <w:rPr>
          <w:rFonts w:hint="eastAsia"/>
          <w:bCs/>
          <w:sz w:val="24"/>
        </w:rPr>
        <w:t>6）形成研究报告</w:t>
      </w:r>
      <w:r>
        <w:rPr>
          <w:bCs/>
          <w:sz w:val="24"/>
        </w:rPr>
        <w:t>5</w:t>
      </w:r>
      <w:r>
        <w:rPr>
          <w:rFonts w:hint="eastAsia"/>
          <w:bCs/>
          <w:sz w:val="24"/>
        </w:rPr>
        <w:t>份，发表核心论文2篇，</w:t>
      </w:r>
      <w:r>
        <w:rPr>
          <w:rFonts w:hint="eastAsia" w:ascii="Times New Roman" w:hAnsi="Times New Roman" w:eastAsia="宋体" w:cs="Times New Roman"/>
          <w:bCs/>
          <w:sz w:val="24"/>
          <w:szCs w:val="18"/>
          <w:lang w:val="en-US" w:eastAsia="zh-CN"/>
        </w:rPr>
        <w:t>其中至少一篇中文核心论文，第一作者为发榜单位人员；</w:t>
      </w:r>
      <w:r>
        <w:rPr>
          <w:rFonts w:hint="eastAsia" w:ascii="宋体" w:hAnsi="宋体"/>
          <w:bCs/>
          <w:sz w:val="24"/>
        </w:rPr>
        <w:t>申请</w:t>
      </w:r>
      <w:r>
        <w:rPr>
          <w:rFonts w:hint="eastAsia" w:ascii="宋体" w:hAnsi="宋体"/>
          <w:bCs/>
          <w:sz w:val="24"/>
          <w:lang w:val="en-US" w:eastAsia="zh-CN"/>
        </w:rPr>
        <w:t>并授权</w:t>
      </w:r>
      <w:r>
        <w:rPr>
          <w:rFonts w:hint="eastAsia" w:ascii="宋体" w:hAnsi="宋体"/>
          <w:bCs/>
          <w:sz w:val="24"/>
        </w:rPr>
        <w:t>发明专利1项</w:t>
      </w:r>
      <w:r>
        <w:rPr>
          <w:rFonts w:hint="eastAsia" w:ascii="宋体" w:hAnsi="宋体"/>
          <w:bCs/>
          <w:sz w:val="24"/>
          <w:lang w:eastAsia="zh-CN"/>
        </w:rPr>
        <w:t>、</w:t>
      </w:r>
      <w:r>
        <w:rPr>
          <w:rFonts w:hint="eastAsia" w:ascii="宋体" w:hAnsi="宋体"/>
          <w:bCs/>
          <w:sz w:val="24"/>
        </w:rPr>
        <w:t>实用新型专利2项</w:t>
      </w:r>
      <w:r>
        <w:rPr>
          <w:rFonts w:hint="eastAsia"/>
          <w:bCs/>
          <w:sz w:val="24"/>
        </w:rPr>
        <w:t>，</w:t>
      </w:r>
      <w:r>
        <w:rPr>
          <w:rFonts w:hint="eastAsia" w:ascii="Times New Roman" w:hAnsi="Times New Roman" w:eastAsia="宋体" w:cs="Times New Roman"/>
          <w:bCs/>
          <w:sz w:val="24"/>
          <w:szCs w:val="18"/>
          <w:lang w:val="en-US" w:eastAsia="zh-CN"/>
        </w:rPr>
        <w:t>专利第一完成人为发榜单位人员；</w:t>
      </w:r>
      <w:r>
        <w:rPr>
          <w:rFonts w:hint="eastAsia"/>
          <w:bCs/>
          <w:sz w:val="24"/>
        </w:rPr>
        <w:t>完成项目鉴定工作，不低于省部级或行业协会科技进步二等奖。</w:t>
      </w:r>
    </w:p>
    <w:p w14:paraId="08103EEE">
      <w:pPr>
        <w:pStyle w:val="2"/>
        <w:numPr>
          <w:ilvl w:val="0"/>
          <w:numId w:val="0"/>
        </w:numPr>
        <w:jc w:val="center"/>
      </w:pPr>
      <w:r>
        <w:rPr>
          <w:rFonts w:hint="eastAsia"/>
        </w:rPr>
        <w:t>三、揭榜申请书及投榜书的编制</w:t>
      </w:r>
      <w:bookmarkEnd w:id="3"/>
      <w:bookmarkEnd w:id="4"/>
      <w:bookmarkEnd w:id="5"/>
    </w:p>
    <w:p w14:paraId="10A52461">
      <w:pPr>
        <w:overflowPunct w:val="0"/>
        <w:spacing w:line="580" w:lineRule="exact"/>
        <w:ind w:firstLine="480" w:firstLineChars="200"/>
        <w:contextualSpacing/>
        <w:rPr>
          <w:rFonts w:hint="eastAsia" w:ascii="宋体" w:hAnsi="宋体"/>
          <w:bCs/>
          <w:sz w:val="24"/>
        </w:rPr>
      </w:pPr>
      <w:bookmarkStart w:id="6" w:name="_Toc318215198"/>
      <w:bookmarkStart w:id="7" w:name="_Toc196209049"/>
      <w:bookmarkStart w:id="8" w:name="_Toc145730899"/>
      <w:bookmarkStart w:id="9" w:name="_Toc231814795"/>
      <w:r>
        <w:rPr>
          <w:rFonts w:hint="eastAsia" w:ascii="宋体" w:hAnsi="宋体"/>
          <w:bCs/>
          <w:sz w:val="24"/>
        </w:rPr>
        <w:t>投榜申请表见附件1。</w:t>
      </w:r>
    </w:p>
    <w:p w14:paraId="2AEB5F4B">
      <w:pPr>
        <w:overflowPunct w:val="0"/>
        <w:spacing w:line="580" w:lineRule="exact"/>
        <w:ind w:firstLine="480" w:firstLineChars="200"/>
        <w:contextualSpacing/>
        <w:rPr>
          <w:rFonts w:hint="eastAsia" w:ascii="宋体" w:hAnsi="宋体"/>
          <w:bCs/>
          <w:sz w:val="24"/>
        </w:rPr>
      </w:pPr>
      <w:r>
        <w:rPr>
          <w:rFonts w:hint="eastAsia" w:ascii="宋体" w:hAnsi="宋体"/>
          <w:bCs/>
          <w:sz w:val="24"/>
        </w:rPr>
        <w:t>投榜书需包括但不限于以下内容：投榜方资格证明文件（包含营业执照或事业单位法人证书复印件、法定代表人身份证明、法定代表人身份证复印件、授权委托书、受托人身份证复印件）、资质条件、科研能力、挂帅者和科研团队实力、项目实施计划方案、项目费用预算等内容，编制形成一本完整材料，封皮加盖法人公章。法定代表人身份证明及授权委托书格式见附件2。</w:t>
      </w:r>
    </w:p>
    <w:bookmarkEnd w:id="6"/>
    <w:bookmarkEnd w:id="7"/>
    <w:bookmarkEnd w:id="8"/>
    <w:bookmarkEnd w:id="9"/>
    <w:p w14:paraId="581EB0FB">
      <w:pPr>
        <w:pStyle w:val="2"/>
        <w:numPr>
          <w:ilvl w:val="0"/>
          <w:numId w:val="0"/>
        </w:numPr>
        <w:jc w:val="center"/>
      </w:pPr>
      <w:bookmarkStart w:id="10" w:name="_Toc145730907"/>
      <w:bookmarkStart w:id="11" w:name="_Toc231814803"/>
      <w:bookmarkStart w:id="12" w:name="_Toc491589963"/>
      <w:r>
        <w:rPr>
          <w:rFonts w:hint="eastAsia"/>
        </w:rPr>
        <w:t>四、投榜书递交</w:t>
      </w:r>
      <w:bookmarkEnd w:id="10"/>
      <w:bookmarkEnd w:id="11"/>
      <w:bookmarkEnd w:id="12"/>
    </w:p>
    <w:p w14:paraId="1D99B041">
      <w:pPr>
        <w:spacing w:line="360" w:lineRule="auto"/>
        <w:ind w:firstLine="482" w:firstLineChars="200"/>
        <w:rPr>
          <w:rFonts w:hint="eastAsia" w:ascii="宋体" w:hAnsi="宋体"/>
          <w:b/>
          <w:sz w:val="24"/>
        </w:rPr>
      </w:pPr>
      <w:bookmarkStart w:id="13" w:name="_Toc196209058"/>
      <w:bookmarkStart w:id="14" w:name="_Toc145730908"/>
      <w:bookmarkStart w:id="15" w:name="_Toc231814804"/>
      <w:bookmarkStart w:id="16" w:name="_Toc318215207"/>
      <w:r>
        <w:rPr>
          <w:rFonts w:hint="eastAsia" w:ascii="宋体" w:hAnsi="宋体"/>
          <w:b/>
          <w:sz w:val="24"/>
        </w:rPr>
        <w:t>（一）投榜书的密封和标记</w:t>
      </w:r>
      <w:bookmarkEnd w:id="13"/>
      <w:bookmarkEnd w:id="14"/>
      <w:bookmarkEnd w:id="15"/>
      <w:bookmarkEnd w:id="16"/>
    </w:p>
    <w:p w14:paraId="599A3A8C">
      <w:pPr>
        <w:autoSpaceDE w:val="0"/>
        <w:autoSpaceDN w:val="0"/>
        <w:adjustRightInd w:val="0"/>
        <w:spacing w:line="360" w:lineRule="auto"/>
        <w:ind w:firstLine="480" w:firstLineChars="200"/>
        <w:rPr>
          <w:rFonts w:hint="eastAsia" w:ascii="宋体" w:hAnsi="宋体"/>
          <w:sz w:val="24"/>
        </w:rPr>
      </w:pPr>
      <w:r>
        <w:rPr>
          <w:rFonts w:hint="eastAsia" w:ascii="宋体" w:hAnsi="宋体"/>
          <w:sz w:val="24"/>
        </w:rPr>
        <w:t>投标人应将投榜书密封在不透明的包封内。</w:t>
      </w:r>
    </w:p>
    <w:p w14:paraId="4D28B55C">
      <w:pPr>
        <w:autoSpaceDE w:val="0"/>
        <w:autoSpaceDN w:val="0"/>
        <w:adjustRightInd w:val="0"/>
        <w:spacing w:line="360" w:lineRule="auto"/>
        <w:ind w:firstLine="480" w:firstLineChars="200"/>
        <w:rPr>
          <w:rFonts w:hint="eastAsia" w:ascii="宋体" w:hAnsi="宋体"/>
          <w:sz w:val="24"/>
        </w:rPr>
      </w:pPr>
      <w:r>
        <w:rPr>
          <w:rFonts w:hint="eastAsia" w:ascii="宋体" w:hAnsi="宋体"/>
          <w:sz w:val="24"/>
        </w:rPr>
        <w:t>包封上需写明：</w:t>
      </w:r>
    </w:p>
    <w:p w14:paraId="58B3209F">
      <w:pPr>
        <w:autoSpaceDE w:val="0"/>
        <w:autoSpaceDN w:val="0"/>
        <w:adjustRightInd w:val="0"/>
        <w:spacing w:line="360" w:lineRule="auto"/>
        <w:ind w:firstLine="480" w:firstLineChars="200"/>
        <w:jc w:val="left"/>
        <w:rPr>
          <w:rFonts w:hint="eastAsia" w:ascii="宋体" w:hAnsi="宋体"/>
          <w:color w:val="FF0000"/>
          <w:sz w:val="24"/>
        </w:rPr>
      </w:pPr>
      <w:r>
        <w:rPr>
          <w:rFonts w:hint="eastAsia" w:ascii="宋体" w:hAnsi="宋体"/>
          <w:sz w:val="24"/>
        </w:rPr>
        <w:t>项目名称：</w:t>
      </w:r>
      <w:r>
        <w:rPr>
          <w:rFonts w:hint="eastAsia" w:ascii="宋体" w:hAnsi="宋体"/>
          <w:bCs/>
          <w:kern w:val="0"/>
          <w:sz w:val="24"/>
        </w:rPr>
        <w:t>深井复杂条件超长工作面围岩变形破坏规律及关键控制技术研究</w:t>
      </w:r>
    </w:p>
    <w:p w14:paraId="21CD8190">
      <w:pPr>
        <w:spacing w:line="360" w:lineRule="auto"/>
        <w:ind w:firstLine="480" w:firstLineChars="200"/>
        <w:rPr>
          <w:rFonts w:hint="eastAsia" w:ascii="宋体" w:hAnsi="宋体"/>
          <w:sz w:val="24"/>
        </w:rPr>
      </w:pPr>
      <w:r>
        <w:rPr>
          <w:rFonts w:hint="eastAsia" w:ascii="宋体" w:hAnsi="宋体"/>
          <w:sz w:val="24"/>
        </w:rPr>
        <w:t>投标人名称：（盖公章）</w:t>
      </w:r>
    </w:p>
    <w:p w14:paraId="629CB587">
      <w:pPr>
        <w:autoSpaceDE w:val="0"/>
        <w:autoSpaceDN w:val="0"/>
        <w:adjustRightInd w:val="0"/>
        <w:spacing w:line="360" w:lineRule="auto"/>
        <w:ind w:firstLine="480" w:firstLineChars="200"/>
        <w:rPr>
          <w:rFonts w:hint="eastAsia" w:ascii="宋体" w:hAnsi="宋体"/>
          <w:sz w:val="24"/>
        </w:rPr>
      </w:pPr>
      <w:r>
        <w:rPr>
          <w:rFonts w:hint="eastAsia" w:ascii="宋体" w:hAnsi="宋体"/>
          <w:sz w:val="24"/>
        </w:rPr>
        <w:t>法定代表人或法定代表人授权代表：（签字或盖章）</w:t>
      </w:r>
    </w:p>
    <w:p w14:paraId="11DCAC15">
      <w:pPr>
        <w:spacing w:line="360" w:lineRule="auto"/>
        <w:ind w:firstLine="482" w:firstLineChars="200"/>
        <w:rPr>
          <w:rFonts w:hint="eastAsia" w:ascii="宋体" w:hAnsi="宋体"/>
          <w:b/>
          <w:sz w:val="24"/>
        </w:rPr>
      </w:pPr>
      <w:bookmarkStart w:id="17" w:name="_Toc145730909"/>
      <w:bookmarkStart w:id="18" w:name="_Toc196209059"/>
      <w:bookmarkStart w:id="19" w:name="_Toc231814805"/>
      <w:bookmarkStart w:id="20" w:name="_Toc318215208"/>
      <w:r>
        <w:rPr>
          <w:rFonts w:hint="eastAsia" w:ascii="宋体" w:hAnsi="宋体"/>
          <w:b/>
          <w:sz w:val="24"/>
        </w:rPr>
        <w:t>（二）投榜书递交截止时间</w:t>
      </w:r>
      <w:bookmarkEnd w:id="17"/>
      <w:bookmarkEnd w:id="18"/>
      <w:bookmarkEnd w:id="19"/>
      <w:bookmarkEnd w:id="20"/>
    </w:p>
    <w:p w14:paraId="441DBF7E">
      <w:pPr>
        <w:autoSpaceDE w:val="0"/>
        <w:autoSpaceDN w:val="0"/>
        <w:adjustRightInd w:val="0"/>
        <w:spacing w:line="360" w:lineRule="auto"/>
        <w:ind w:firstLine="480" w:firstLineChars="200"/>
        <w:rPr>
          <w:rFonts w:ascii="宋体"/>
          <w:sz w:val="24"/>
        </w:rPr>
      </w:pPr>
      <w:r>
        <w:rPr>
          <w:rFonts w:hint="eastAsia" w:ascii="宋体" w:hAnsi="宋体"/>
          <w:sz w:val="24"/>
        </w:rPr>
        <w:t>揭榜人须在规定的截止时间前将投榜书文件送达开标地点。投榜书有下列情形之一的，发榜人不予受理：（1）投榜书递交截止时间后送达的；（2）未按发榜公告要求提供材料的；（3）揭榜费用超过发榜公告费用的。</w:t>
      </w:r>
    </w:p>
    <w:p w14:paraId="351F1959">
      <w:pPr>
        <w:spacing w:line="360" w:lineRule="auto"/>
        <w:ind w:firstLine="482" w:firstLineChars="200"/>
        <w:rPr>
          <w:rFonts w:hint="eastAsia" w:ascii="宋体" w:hAnsi="宋体"/>
          <w:b/>
          <w:sz w:val="24"/>
        </w:rPr>
      </w:pPr>
      <w:r>
        <w:rPr>
          <w:rFonts w:hint="eastAsia" w:ascii="宋体" w:hAnsi="宋体"/>
          <w:b/>
          <w:sz w:val="24"/>
        </w:rPr>
        <w:t>（三）评榜文件递交方式</w:t>
      </w:r>
    </w:p>
    <w:p w14:paraId="450C29E5">
      <w:pPr>
        <w:autoSpaceDE w:val="0"/>
        <w:autoSpaceDN w:val="0"/>
        <w:adjustRightInd w:val="0"/>
        <w:spacing w:line="360" w:lineRule="auto"/>
        <w:ind w:firstLine="480" w:firstLineChars="200"/>
        <w:rPr>
          <w:rFonts w:hint="eastAsia" w:ascii="宋体" w:hAnsi="宋体"/>
          <w:sz w:val="24"/>
        </w:rPr>
      </w:pPr>
      <w:r>
        <w:rPr>
          <w:rFonts w:hint="eastAsia" w:ascii="宋体" w:hAnsi="宋体"/>
          <w:sz w:val="24"/>
        </w:rPr>
        <w:t>揭榜人采用现场递交方式。</w:t>
      </w:r>
    </w:p>
    <w:p w14:paraId="22269B03">
      <w:pPr>
        <w:pStyle w:val="2"/>
        <w:numPr>
          <w:ilvl w:val="0"/>
          <w:numId w:val="0"/>
        </w:numPr>
        <w:jc w:val="center"/>
      </w:pPr>
      <w:bookmarkStart w:id="21" w:name="_Toc231814807"/>
      <w:bookmarkStart w:id="22" w:name="_Toc491589964"/>
      <w:bookmarkStart w:id="23" w:name="_Toc145730911"/>
      <w:r>
        <w:rPr>
          <w:rFonts w:hint="eastAsia"/>
        </w:rPr>
        <w:t>五、</w:t>
      </w:r>
      <w:bookmarkEnd w:id="21"/>
      <w:bookmarkEnd w:id="22"/>
      <w:bookmarkEnd w:id="23"/>
      <w:r>
        <w:rPr>
          <w:rFonts w:hint="eastAsia"/>
        </w:rPr>
        <w:t>评榜选帅</w:t>
      </w:r>
    </w:p>
    <w:p w14:paraId="560539E7">
      <w:pPr>
        <w:autoSpaceDE w:val="0"/>
        <w:autoSpaceDN w:val="0"/>
        <w:adjustRightInd w:val="0"/>
        <w:spacing w:line="360" w:lineRule="auto"/>
        <w:ind w:firstLine="480" w:firstLineChars="200"/>
        <w:rPr>
          <w:rFonts w:ascii="宋体"/>
          <w:sz w:val="24"/>
        </w:rPr>
      </w:pPr>
      <w:r>
        <w:rPr>
          <w:rFonts w:hint="eastAsia" w:ascii="宋体" w:hAnsi="宋体"/>
          <w:sz w:val="24"/>
        </w:rPr>
        <w:t>（一）评榜时间：</w:t>
      </w:r>
      <w:r>
        <w:rPr>
          <w:rFonts w:hint="eastAsia" w:ascii="宋体" w:hAnsi="宋体"/>
          <w:kern w:val="0"/>
          <w:sz w:val="24"/>
        </w:rPr>
        <w:t>待定</w:t>
      </w:r>
    </w:p>
    <w:p w14:paraId="68F6E049">
      <w:pPr>
        <w:autoSpaceDE w:val="0"/>
        <w:autoSpaceDN w:val="0"/>
        <w:adjustRightInd w:val="0"/>
        <w:spacing w:line="360" w:lineRule="auto"/>
        <w:ind w:firstLine="480" w:firstLineChars="200"/>
        <w:rPr>
          <w:rFonts w:hint="eastAsia" w:ascii="宋体" w:hAnsi="宋体"/>
          <w:sz w:val="24"/>
        </w:rPr>
      </w:pPr>
      <w:bookmarkStart w:id="24" w:name="_Toc196209065"/>
      <w:bookmarkStart w:id="25" w:name="_Toc145730915"/>
      <w:bookmarkStart w:id="26" w:name="_Toc231814811"/>
      <w:bookmarkStart w:id="27" w:name="_Toc318215214"/>
      <w:r>
        <w:rPr>
          <w:rFonts w:hint="eastAsia" w:ascii="宋体" w:hAnsi="宋体"/>
          <w:sz w:val="24"/>
        </w:rPr>
        <w:t>（二）评榜程序：永煤集团科技管理部门组织有关专家对揭榜方申请表和投榜书进行评估，形成专家评估意见，选出拟挂帅者。</w:t>
      </w:r>
      <w:bookmarkEnd w:id="24"/>
      <w:bookmarkEnd w:id="25"/>
      <w:bookmarkEnd w:id="26"/>
      <w:bookmarkEnd w:id="27"/>
      <w:bookmarkStart w:id="28" w:name="_Toc491589966"/>
      <w:bookmarkStart w:id="29" w:name="_Toc145730924"/>
      <w:bookmarkStart w:id="30" w:name="_Toc231814820"/>
    </w:p>
    <w:p w14:paraId="749432A5">
      <w:pPr>
        <w:pStyle w:val="2"/>
        <w:numPr>
          <w:ilvl w:val="0"/>
          <w:numId w:val="0"/>
        </w:numPr>
        <w:jc w:val="center"/>
        <w:rPr>
          <w:rFonts w:hint="eastAsia" w:ascii="仿宋" w:hAnsi="仿宋" w:eastAsia="仿宋"/>
          <w:szCs w:val="32"/>
        </w:rPr>
      </w:pPr>
      <w:r>
        <w:rPr>
          <w:rFonts w:hint="eastAsia"/>
        </w:rPr>
        <w:t>六、</w:t>
      </w:r>
      <w:bookmarkEnd w:id="28"/>
      <w:bookmarkEnd w:id="29"/>
      <w:bookmarkEnd w:id="30"/>
      <w:r>
        <w:rPr>
          <w:rFonts w:hint="eastAsia"/>
        </w:rPr>
        <w:t>中榜挂帅</w:t>
      </w:r>
    </w:p>
    <w:p w14:paraId="5A959562">
      <w:pPr>
        <w:autoSpaceDE w:val="0"/>
        <w:autoSpaceDN w:val="0"/>
        <w:adjustRightInd w:val="0"/>
        <w:spacing w:line="360" w:lineRule="auto"/>
        <w:ind w:firstLine="480" w:firstLineChars="200"/>
        <w:rPr>
          <w:rFonts w:hint="eastAsia" w:ascii="宋体" w:hAnsi="宋体"/>
          <w:sz w:val="24"/>
        </w:rPr>
      </w:pPr>
      <w:r>
        <w:rPr>
          <w:rFonts w:hint="eastAsia" w:ascii="宋体" w:hAnsi="宋体"/>
          <w:sz w:val="24"/>
        </w:rPr>
        <w:t>永煤集团科技管理部门将评估结果按程序进行报批，最终确定中榜方和挂帅者。</w:t>
      </w:r>
    </w:p>
    <w:p w14:paraId="3FEE1220">
      <w:pPr>
        <w:pStyle w:val="2"/>
        <w:numPr>
          <w:ilvl w:val="0"/>
          <w:numId w:val="0"/>
        </w:numPr>
        <w:jc w:val="center"/>
      </w:pPr>
      <w:r>
        <w:rPr>
          <w:rFonts w:hint="eastAsia"/>
        </w:rPr>
        <w:t>七、签军令状</w:t>
      </w:r>
    </w:p>
    <w:p w14:paraId="33EF5328">
      <w:pPr>
        <w:spacing w:line="360" w:lineRule="auto"/>
        <w:ind w:firstLine="480" w:firstLineChars="200"/>
        <w:rPr>
          <w:rFonts w:hint="eastAsia" w:ascii="宋体" w:hAnsi="宋体"/>
          <w:sz w:val="24"/>
        </w:rPr>
      </w:pPr>
      <w:bookmarkStart w:id="31" w:name="_Toc318215223"/>
      <w:bookmarkStart w:id="32" w:name="_Toc231814821"/>
      <w:bookmarkStart w:id="33" w:name="_Toc145730925"/>
      <w:bookmarkStart w:id="34" w:name="_Toc196209075"/>
      <w:r>
        <w:rPr>
          <w:rFonts w:hint="eastAsia" w:ascii="宋体" w:hAnsi="宋体"/>
          <w:sz w:val="24"/>
        </w:rPr>
        <w:t>发榜方与中榜方签订军令状（技术合同），双方签字盖章后生效。发榜方项目承担单位与中榜方要按照国家相关法律法规规定，在技术合同中约定知识产权的归属和分配，避免产生知识产权纠纷</w:t>
      </w:r>
      <w:bookmarkEnd w:id="31"/>
      <w:bookmarkEnd w:id="32"/>
      <w:bookmarkEnd w:id="33"/>
      <w:bookmarkEnd w:id="34"/>
      <w:bookmarkStart w:id="35" w:name="_Toc491589970"/>
      <w:bookmarkEnd w:id="35"/>
      <w:r>
        <w:rPr>
          <w:rFonts w:hint="eastAsia" w:ascii="宋体" w:hAnsi="宋体"/>
          <w:sz w:val="24"/>
        </w:rPr>
        <w:t>，并到集团公司科技管理部门备案。</w:t>
      </w:r>
    </w:p>
    <w:p w14:paraId="1B5BAA68">
      <w:pPr>
        <w:spacing w:line="360" w:lineRule="auto"/>
        <w:ind w:firstLine="640" w:firstLineChars="200"/>
        <w:rPr>
          <w:rFonts w:hint="eastAsia" w:ascii="仿宋" w:hAnsi="仿宋" w:eastAsia="仿宋" w:cs="仿宋"/>
          <w:kern w:val="0"/>
          <w:sz w:val="32"/>
          <w:szCs w:val="32"/>
        </w:rPr>
      </w:pPr>
      <w:r>
        <w:rPr>
          <w:rFonts w:ascii="仿宋" w:hAnsi="仿宋" w:eastAsia="仿宋" w:cs="仿宋"/>
          <w:kern w:val="0"/>
          <w:sz w:val="32"/>
          <w:szCs w:val="32"/>
        </w:rPr>
        <w:br w:type="page"/>
      </w:r>
    </w:p>
    <w:p w14:paraId="790C7885">
      <w:pPr>
        <w:spacing w:line="360" w:lineRule="auto"/>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附件1</w:t>
      </w:r>
    </w:p>
    <w:p w14:paraId="634610C8">
      <w:pPr>
        <w:spacing w:line="580" w:lineRule="exact"/>
        <w:jc w:val="center"/>
        <w:rPr>
          <w:rFonts w:hint="eastAsia" w:ascii="微软雅黑 Light" w:hAnsi="微软雅黑 Light" w:eastAsia="微软雅黑 Light" w:cs="微软雅黑 Light"/>
          <w:sz w:val="44"/>
          <w:szCs w:val="44"/>
        </w:rPr>
      </w:pPr>
      <w:r>
        <w:rPr>
          <w:rFonts w:hint="eastAsia" w:ascii="微软雅黑 Light" w:hAnsi="微软雅黑 Light" w:eastAsia="微软雅黑 Light" w:cs="微软雅黑 Light"/>
          <w:sz w:val="44"/>
          <w:szCs w:val="44"/>
        </w:rPr>
        <w:t>河南能源永煤公司揭榜投榜申请表</w:t>
      </w:r>
    </w:p>
    <w:tbl>
      <w:tblPr>
        <w:tblStyle w:val="42"/>
        <w:tblW w:w="981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63"/>
        <w:gridCol w:w="1417"/>
        <w:gridCol w:w="1560"/>
        <w:gridCol w:w="1984"/>
        <w:gridCol w:w="1517"/>
        <w:gridCol w:w="2169"/>
      </w:tblGrid>
      <w:tr w14:paraId="5DE163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80" w:type="dxa"/>
            <w:gridSpan w:val="2"/>
          </w:tcPr>
          <w:p w14:paraId="3AD87716">
            <w:pPr>
              <w:spacing w:line="580" w:lineRule="exact"/>
              <w:jc w:val="center"/>
              <w:rPr>
                <w:rFonts w:hint="eastAsia" w:ascii="仿宋" w:hAnsi="仿宋" w:eastAsia="仿宋"/>
                <w:sz w:val="30"/>
                <w:szCs w:val="30"/>
              </w:rPr>
            </w:pPr>
            <w:r>
              <w:rPr>
                <w:rFonts w:hint="eastAsia" w:ascii="仿宋" w:hAnsi="仿宋" w:eastAsia="仿宋"/>
                <w:sz w:val="30"/>
                <w:szCs w:val="30"/>
              </w:rPr>
              <w:t>发榜项目名称</w:t>
            </w:r>
          </w:p>
        </w:tc>
        <w:tc>
          <w:tcPr>
            <w:tcW w:w="7230" w:type="dxa"/>
            <w:gridSpan w:val="4"/>
          </w:tcPr>
          <w:p w14:paraId="3115DEE1">
            <w:pPr>
              <w:spacing w:line="580" w:lineRule="exact"/>
              <w:jc w:val="center"/>
              <w:rPr>
                <w:rFonts w:hint="eastAsia" w:ascii="仿宋" w:hAnsi="仿宋" w:eastAsia="仿宋"/>
                <w:sz w:val="30"/>
                <w:szCs w:val="30"/>
              </w:rPr>
            </w:pPr>
          </w:p>
        </w:tc>
      </w:tr>
      <w:tr w14:paraId="239927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80" w:type="dxa"/>
            <w:gridSpan w:val="2"/>
          </w:tcPr>
          <w:p w14:paraId="69AC1785">
            <w:pPr>
              <w:spacing w:line="580" w:lineRule="exact"/>
              <w:jc w:val="center"/>
              <w:rPr>
                <w:rFonts w:hint="eastAsia" w:ascii="仿宋" w:hAnsi="仿宋" w:eastAsia="仿宋"/>
                <w:sz w:val="30"/>
                <w:szCs w:val="30"/>
              </w:rPr>
            </w:pPr>
            <w:r>
              <w:rPr>
                <w:rFonts w:hint="eastAsia" w:ascii="仿宋" w:hAnsi="仿宋" w:eastAsia="仿宋"/>
                <w:sz w:val="30"/>
                <w:szCs w:val="30"/>
              </w:rPr>
              <w:t>揭榜方单位名称</w:t>
            </w:r>
          </w:p>
        </w:tc>
        <w:tc>
          <w:tcPr>
            <w:tcW w:w="7230" w:type="dxa"/>
            <w:gridSpan w:val="4"/>
          </w:tcPr>
          <w:p w14:paraId="1C405B71">
            <w:pPr>
              <w:spacing w:line="580" w:lineRule="exact"/>
              <w:jc w:val="center"/>
              <w:rPr>
                <w:rFonts w:hint="eastAsia" w:ascii="仿宋" w:hAnsi="仿宋" w:eastAsia="仿宋"/>
                <w:sz w:val="30"/>
                <w:szCs w:val="30"/>
              </w:rPr>
            </w:pPr>
          </w:p>
        </w:tc>
      </w:tr>
      <w:tr w14:paraId="716D09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3" w:type="dxa"/>
            <w:vMerge w:val="restart"/>
            <w:vAlign w:val="center"/>
          </w:tcPr>
          <w:p w14:paraId="3BEB21A9">
            <w:pPr>
              <w:spacing w:line="400" w:lineRule="exact"/>
              <w:jc w:val="center"/>
              <w:rPr>
                <w:rFonts w:hint="eastAsia" w:ascii="仿宋" w:hAnsi="仿宋" w:eastAsia="仿宋"/>
                <w:sz w:val="30"/>
                <w:szCs w:val="30"/>
              </w:rPr>
            </w:pPr>
            <w:r>
              <w:rPr>
                <w:rFonts w:hint="eastAsia" w:ascii="仿宋" w:hAnsi="仿宋" w:eastAsia="仿宋"/>
                <w:sz w:val="30"/>
                <w:szCs w:val="30"/>
              </w:rPr>
              <w:t>揭榜方科研</w:t>
            </w:r>
          </w:p>
          <w:p w14:paraId="6EC2B041">
            <w:pPr>
              <w:spacing w:line="400" w:lineRule="exact"/>
              <w:jc w:val="center"/>
              <w:rPr>
                <w:rFonts w:hint="eastAsia" w:ascii="仿宋" w:hAnsi="仿宋" w:eastAsia="仿宋"/>
                <w:sz w:val="30"/>
                <w:szCs w:val="30"/>
              </w:rPr>
            </w:pPr>
            <w:r>
              <w:rPr>
                <w:rFonts w:hint="eastAsia" w:ascii="仿宋" w:hAnsi="仿宋" w:eastAsia="仿宋"/>
                <w:sz w:val="30"/>
                <w:szCs w:val="30"/>
              </w:rPr>
              <w:t>团队</w:t>
            </w:r>
          </w:p>
          <w:p w14:paraId="768904DE">
            <w:pPr>
              <w:spacing w:line="400" w:lineRule="exact"/>
              <w:jc w:val="center"/>
              <w:rPr>
                <w:rFonts w:hint="eastAsia" w:ascii="仿宋" w:hAnsi="仿宋" w:eastAsia="仿宋"/>
                <w:sz w:val="30"/>
                <w:szCs w:val="30"/>
              </w:rPr>
            </w:pPr>
            <w:r>
              <w:rPr>
                <w:rFonts w:hint="eastAsia" w:ascii="仿宋" w:hAnsi="仿宋" w:eastAsia="仿宋"/>
                <w:sz w:val="30"/>
                <w:szCs w:val="30"/>
              </w:rPr>
              <w:t>力量</w:t>
            </w:r>
          </w:p>
        </w:tc>
        <w:tc>
          <w:tcPr>
            <w:tcW w:w="1417" w:type="dxa"/>
            <w:vAlign w:val="center"/>
          </w:tcPr>
          <w:p w14:paraId="3BE56C95">
            <w:pPr>
              <w:spacing w:before="100" w:beforeAutospacing="1" w:after="100" w:afterAutospacing="1" w:line="580" w:lineRule="exact"/>
              <w:jc w:val="center"/>
              <w:rPr>
                <w:rFonts w:hint="eastAsia" w:ascii="仿宋" w:hAnsi="仿宋" w:eastAsia="仿宋"/>
                <w:sz w:val="30"/>
                <w:szCs w:val="30"/>
              </w:rPr>
            </w:pPr>
            <w:r>
              <w:rPr>
                <w:rFonts w:hint="eastAsia" w:ascii="仿宋" w:hAnsi="仿宋" w:eastAsia="仿宋"/>
                <w:sz w:val="30"/>
                <w:szCs w:val="30"/>
              </w:rPr>
              <w:t>职责</w:t>
            </w:r>
          </w:p>
        </w:tc>
        <w:tc>
          <w:tcPr>
            <w:tcW w:w="1560" w:type="dxa"/>
          </w:tcPr>
          <w:p w14:paraId="7785FDF1">
            <w:pPr>
              <w:spacing w:before="100" w:beforeAutospacing="1" w:after="100" w:afterAutospacing="1" w:line="580" w:lineRule="exact"/>
              <w:jc w:val="center"/>
              <w:rPr>
                <w:rFonts w:hint="eastAsia" w:ascii="仿宋" w:hAnsi="仿宋" w:eastAsia="仿宋"/>
                <w:sz w:val="30"/>
                <w:szCs w:val="30"/>
              </w:rPr>
            </w:pPr>
            <w:r>
              <w:rPr>
                <w:rFonts w:hint="eastAsia" w:ascii="仿宋" w:hAnsi="仿宋" w:eastAsia="仿宋"/>
                <w:sz w:val="30"/>
                <w:szCs w:val="30"/>
              </w:rPr>
              <w:t>姓名</w:t>
            </w:r>
          </w:p>
        </w:tc>
        <w:tc>
          <w:tcPr>
            <w:tcW w:w="1984" w:type="dxa"/>
          </w:tcPr>
          <w:p w14:paraId="2C23A8AB">
            <w:pPr>
              <w:spacing w:line="580" w:lineRule="exact"/>
              <w:jc w:val="center"/>
              <w:rPr>
                <w:rFonts w:hint="eastAsia" w:ascii="仿宋" w:hAnsi="仿宋" w:eastAsia="仿宋"/>
                <w:sz w:val="30"/>
                <w:szCs w:val="30"/>
              </w:rPr>
            </w:pPr>
            <w:r>
              <w:rPr>
                <w:rFonts w:hint="eastAsia" w:ascii="仿宋" w:hAnsi="仿宋" w:eastAsia="仿宋"/>
                <w:sz w:val="30"/>
                <w:szCs w:val="30"/>
              </w:rPr>
              <w:t>出生年月</w:t>
            </w:r>
          </w:p>
        </w:tc>
        <w:tc>
          <w:tcPr>
            <w:tcW w:w="1517" w:type="dxa"/>
          </w:tcPr>
          <w:p w14:paraId="34E68039">
            <w:pPr>
              <w:spacing w:line="580" w:lineRule="exact"/>
              <w:jc w:val="center"/>
              <w:rPr>
                <w:rFonts w:hint="eastAsia" w:ascii="仿宋" w:hAnsi="仿宋" w:eastAsia="仿宋"/>
                <w:sz w:val="30"/>
                <w:szCs w:val="30"/>
              </w:rPr>
            </w:pPr>
            <w:r>
              <w:rPr>
                <w:rFonts w:hint="eastAsia" w:ascii="仿宋" w:hAnsi="仿宋" w:eastAsia="仿宋"/>
                <w:sz w:val="30"/>
                <w:szCs w:val="30"/>
              </w:rPr>
              <w:t>职务职称</w:t>
            </w:r>
          </w:p>
        </w:tc>
        <w:tc>
          <w:tcPr>
            <w:tcW w:w="2169" w:type="dxa"/>
          </w:tcPr>
          <w:p w14:paraId="282DD065">
            <w:pPr>
              <w:spacing w:line="580" w:lineRule="exact"/>
              <w:jc w:val="center"/>
              <w:rPr>
                <w:rFonts w:hint="eastAsia" w:ascii="仿宋" w:hAnsi="仿宋" w:eastAsia="仿宋"/>
                <w:sz w:val="30"/>
                <w:szCs w:val="30"/>
              </w:rPr>
            </w:pPr>
            <w:r>
              <w:rPr>
                <w:rFonts w:hint="eastAsia" w:ascii="仿宋" w:hAnsi="仿宋" w:eastAsia="仿宋"/>
                <w:sz w:val="30"/>
                <w:szCs w:val="30"/>
              </w:rPr>
              <w:t>研究专业方向</w:t>
            </w:r>
          </w:p>
        </w:tc>
      </w:tr>
      <w:tr w14:paraId="3755D9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3" w:type="dxa"/>
            <w:vMerge w:val="continue"/>
            <w:vAlign w:val="center"/>
          </w:tcPr>
          <w:p w14:paraId="24929F67">
            <w:pPr>
              <w:spacing w:line="580" w:lineRule="exact"/>
              <w:jc w:val="center"/>
              <w:rPr>
                <w:rFonts w:hint="eastAsia" w:ascii="仿宋" w:hAnsi="仿宋" w:eastAsia="仿宋"/>
                <w:sz w:val="30"/>
                <w:szCs w:val="30"/>
              </w:rPr>
            </w:pPr>
          </w:p>
        </w:tc>
        <w:tc>
          <w:tcPr>
            <w:tcW w:w="1417" w:type="dxa"/>
            <w:vAlign w:val="center"/>
          </w:tcPr>
          <w:p w14:paraId="341779A4">
            <w:pPr>
              <w:spacing w:before="100" w:beforeAutospacing="1" w:after="100" w:afterAutospacing="1" w:line="580" w:lineRule="exact"/>
              <w:jc w:val="center"/>
              <w:rPr>
                <w:rFonts w:hint="eastAsia" w:ascii="仿宋" w:hAnsi="仿宋" w:eastAsia="仿宋"/>
                <w:sz w:val="30"/>
                <w:szCs w:val="30"/>
              </w:rPr>
            </w:pPr>
            <w:r>
              <w:rPr>
                <w:rFonts w:hint="eastAsia" w:ascii="仿宋" w:hAnsi="仿宋" w:eastAsia="仿宋"/>
                <w:sz w:val="30"/>
                <w:szCs w:val="30"/>
              </w:rPr>
              <w:t>挂帅者</w:t>
            </w:r>
          </w:p>
        </w:tc>
        <w:tc>
          <w:tcPr>
            <w:tcW w:w="1560" w:type="dxa"/>
          </w:tcPr>
          <w:p w14:paraId="06284275">
            <w:pPr>
              <w:spacing w:line="580" w:lineRule="exact"/>
              <w:jc w:val="center"/>
              <w:rPr>
                <w:rFonts w:hint="eastAsia" w:ascii="仿宋" w:hAnsi="仿宋" w:eastAsia="仿宋"/>
                <w:sz w:val="30"/>
                <w:szCs w:val="30"/>
              </w:rPr>
            </w:pPr>
          </w:p>
        </w:tc>
        <w:tc>
          <w:tcPr>
            <w:tcW w:w="1984" w:type="dxa"/>
          </w:tcPr>
          <w:p w14:paraId="0000AF11">
            <w:pPr>
              <w:spacing w:line="580" w:lineRule="exact"/>
              <w:jc w:val="center"/>
              <w:rPr>
                <w:rFonts w:eastAsia="仿宋"/>
                <w:sz w:val="30"/>
                <w:szCs w:val="30"/>
              </w:rPr>
            </w:pPr>
          </w:p>
        </w:tc>
        <w:tc>
          <w:tcPr>
            <w:tcW w:w="1517" w:type="dxa"/>
          </w:tcPr>
          <w:p w14:paraId="51832065">
            <w:pPr>
              <w:spacing w:line="580" w:lineRule="exact"/>
              <w:jc w:val="center"/>
              <w:rPr>
                <w:rFonts w:hint="eastAsia" w:ascii="仿宋" w:hAnsi="仿宋" w:eastAsia="仿宋"/>
                <w:sz w:val="30"/>
                <w:szCs w:val="30"/>
              </w:rPr>
            </w:pPr>
          </w:p>
        </w:tc>
        <w:tc>
          <w:tcPr>
            <w:tcW w:w="2169" w:type="dxa"/>
          </w:tcPr>
          <w:p w14:paraId="6083FB19">
            <w:pPr>
              <w:spacing w:line="580" w:lineRule="exact"/>
              <w:jc w:val="center"/>
              <w:rPr>
                <w:rFonts w:hint="eastAsia" w:ascii="仿宋" w:hAnsi="仿宋" w:eastAsia="仿宋"/>
                <w:sz w:val="30"/>
                <w:szCs w:val="30"/>
              </w:rPr>
            </w:pPr>
          </w:p>
        </w:tc>
      </w:tr>
      <w:tr w14:paraId="6FBD52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3" w:type="dxa"/>
            <w:vMerge w:val="continue"/>
          </w:tcPr>
          <w:p w14:paraId="52B1D4F2">
            <w:pPr>
              <w:spacing w:line="580" w:lineRule="exact"/>
              <w:jc w:val="center"/>
              <w:rPr>
                <w:rFonts w:hint="eastAsia" w:ascii="仿宋" w:hAnsi="仿宋" w:eastAsia="仿宋"/>
                <w:sz w:val="30"/>
                <w:szCs w:val="30"/>
              </w:rPr>
            </w:pPr>
          </w:p>
        </w:tc>
        <w:tc>
          <w:tcPr>
            <w:tcW w:w="1417" w:type="dxa"/>
            <w:vMerge w:val="restart"/>
            <w:vAlign w:val="center"/>
          </w:tcPr>
          <w:p w14:paraId="69C5C0E6">
            <w:pPr>
              <w:spacing w:before="100" w:beforeAutospacing="1" w:after="100" w:afterAutospacing="1" w:line="580" w:lineRule="exact"/>
              <w:jc w:val="center"/>
              <w:rPr>
                <w:rFonts w:hint="eastAsia" w:ascii="仿宋" w:hAnsi="仿宋" w:eastAsia="仿宋"/>
                <w:sz w:val="30"/>
                <w:szCs w:val="30"/>
              </w:rPr>
            </w:pPr>
            <w:r>
              <w:rPr>
                <w:rFonts w:hint="eastAsia" w:ascii="仿宋" w:hAnsi="仿宋" w:eastAsia="仿宋"/>
                <w:sz w:val="30"/>
                <w:szCs w:val="30"/>
              </w:rPr>
              <w:t>核心人员</w:t>
            </w:r>
          </w:p>
        </w:tc>
        <w:tc>
          <w:tcPr>
            <w:tcW w:w="1560" w:type="dxa"/>
          </w:tcPr>
          <w:p w14:paraId="225083FA">
            <w:pPr>
              <w:spacing w:line="580" w:lineRule="exact"/>
              <w:jc w:val="center"/>
              <w:rPr>
                <w:rFonts w:hint="eastAsia" w:ascii="仿宋" w:hAnsi="仿宋" w:eastAsia="仿宋"/>
                <w:sz w:val="30"/>
                <w:szCs w:val="30"/>
              </w:rPr>
            </w:pPr>
          </w:p>
        </w:tc>
        <w:tc>
          <w:tcPr>
            <w:tcW w:w="1984" w:type="dxa"/>
          </w:tcPr>
          <w:p w14:paraId="09BA9180">
            <w:pPr>
              <w:spacing w:line="580" w:lineRule="exact"/>
              <w:jc w:val="center"/>
              <w:rPr>
                <w:rFonts w:hint="eastAsia" w:ascii="仿宋" w:hAnsi="仿宋" w:eastAsia="仿宋"/>
                <w:sz w:val="30"/>
                <w:szCs w:val="30"/>
              </w:rPr>
            </w:pPr>
          </w:p>
        </w:tc>
        <w:tc>
          <w:tcPr>
            <w:tcW w:w="1517" w:type="dxa"/>
          </w:tcPr>
          <w:p w14:paraId="36E0B4E6">
            <w:pPr>
              <w:spacing w:line="580" w:lineRule="exact"/>
              <w:jc w:val="center"/>
              <w:rPr>
                <w:rFonts w:hint="eastAsia" w:ascii="仿宋" w:hAnsi="仿宋" w:eastAsia="仿宋"/>
                <w:sz w:val="30"/>
                <w:szCs w:val="30"/>
              </w:rPr>
            </w:pPr>
          </w:p>
        </w:tc>
        <w:tc>
          <w:tcPr>
            <w:tcW w:w="2169" w:type="dxa"/>
          </w:tcPr>
          <w:p w14:paraId="7B1C5CFE">
            <w:pPr>
              <w:spacing w:line="580" w:lineRule="exact"/>
              <w:jc w:val="center"/>
              <w:rPr>
                <w:rFonts w:hint="eastAsia" w:ascii="仿宋" w:hAnsi="仿宋" w:eastAsia="仿宋"/>
                <w:sz w:val="30"/>
                <w:szCs w:val="30"/>
              </w:rPr>
            </w:pPr>
          </w:p>
        </w:tc>
      </w:tr>
      <w:tr w14:paraId="6B6725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3" w:type="dxa"/>
            <w:vMerge w:val="continue"/>
          </w:tcPr>
          <w:p w14:paraId="47C4BB0F">
            <w:pPr>
              <w:spacing w:line="580" w:lineRule="exact"/>
              <w:jc w:val="center"/>
              <w:rPr>
                <w:rFonts w:hint="eastAsia" w:ascii="仿宋" w:hAnsi="仿宋" w:eastAsia="仿宋"/>
                <w:sz w:val="30"/>
                <w:szCs w:val="30"/>
              </w:rPr>
            </w:pPr>
          </w:p>
        </w:tc>
        <w:tc>
          <w:tcPr>
            <w:tcW w:w="1417" w:type="dxa"/>
            <w:vMerge w:val="continue"/>
            <w:vAlign w:val="center"/>
          </w:tcPr>
          <w:p w14:paraId="2CF9A047">
            <w:pPr>
              <w:spacing w:line="580" w:lineRule="exact"/>
              <w:jc w:val="center"/>
              <w:rPr>
                <w:rFonts w:hint="eastAsia" w:ascii="仿宋" w:hAnsi="仿宋" w:eastAsia="仿宋"/>
                <w:sz w:val="30"/>
                <w:szCs w:val="30"/>
              </w:rPr>
            </w:pPr>
          </w:p>
        </w:tc>
        <w:tc>
          <w:tcPr>
            <w:tcW w:w="1560" w:type="dxa"/>
          </w:tcPr>
          <w:p w14:paraId="52916F76">
            <w:pPr>
              <w:spacing w:line="580" w:lineRule="exact"/>
              <w:jc w:val="center"/>
              <w:rPr>
                <w:rFonts w:hint="eastAsia" w:ascii="仿宋" w:hAnsi="仿宋" w:eastAsia="仿宋"/>
                <w:sz w:val="30"/>
                <w:szCs w:val="30"/>
              </w:rPr>
            </w:pPr>
          </w:p>
        </w:tc>
        <w:tc>
          <w:tcPr>
            <w:tcW w:w="1984" w:type="dxa"/>
          </w:tcPr>
          <w:p w14:paraId="2A812D85">
            <w:pPr>
              <w:spacing w:line="580" w:lineRule="exact"/>
              <w:jc w:val="center"/>
              <w:rPr>
                <w:rFonts w:hint="eastAsia" w:ascii="仿宋" w:hAnsi="仿宋" w:eastAsia="仿宋"/>
                <w:sz w:val="30"/>
                <w:szCs w:val="30"/>
              </w:rPr>
            </w:pPr>
          </w:p>
        </w:tc>
        <w:tc>
          <w:tcPr>
            <w:tcW w:w="1517" w:type="dxa"/>
          </w:tcPr>
          <w:p w14:paraId="6610EEDD">
            <w:pPr>
              <w:spacing w:line="580" w:lineRule="exact"/>
              <w:jc w:val="center"/>
              <w:rPr>
                <w:rFonts w:hint="eastAsia" w:ascii="仿宋" w:hAnsi="仿宋" w:eastAsia="仿宋"/>
                <w:sz w:val="30"/>
                <w:szCs w:val="30"/>
              </w:rPr>
            </w:pPr>
          </w:p>
        </w:tc>
        <w:tc>
          <w:tcPr>
            <w:tcW w:w="2169" w:type="dxa"/>
          </w:tcPr>
          <w:p w14:paraId="23BA7C48">
            <w:pPr>
              <w:spacing w:line="580" w:lineRule="exact"/>
              <w:jc w:val="center"/>
              <w:rPr>
                <w:rFonts w:hint="eastAsia" w:ascii="仿宋" w:hAnsi="仿宋" w:eastAsia="仿宋"/>
                <w:sz w:val="30"/>
                <w:szCs w:val="30"/>
              </w:rPr>
            </w:pPr>
          </w:p>
        </w:tc>
      </w:tr>
      <w:tr w14:paraId="30FC02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3" w:type="dxa"/>
            <w:vMerge w:val="continue"/>
          </w:tcPr>
          <w:p w14:paraId="29E14BE6">
            <w:pPr>
              <w:spacing w:line="580" w:lineRule="exact"/>
              <w:jc w:val="center"/>
              <w:rPr>
                <w:rFonts w:hint="eastAsia" w:ascii="仿宋" w:hAnsi="仿宋" w:eastAsia="仿宋"/>
                <w:sz w:val="30"/>
                <w:szCs w:val="30"/>
              </w:rPr>
            </w:pPr>
          </w:p>
        </w:tc>
        <w:tc>
          <w:tcPr>
            <w:tcW w:w="1417" w:type="dxa"/>
            <w:vMerge w:val="restart"/>
            <w:vAlign w:val="center"/>
          </w:tcPr>
          <w:p w14:paraId="43BA3D18">
            <w:pPr>
              <w:spacing w:before="100" w:beforeAutospacing="1" w:after="100" w:afterAutospacing="1" w:line="580" w:lineRule="exact"/>
              <w:jc w:val="center"/>
              <w:rPr>
                <w:rFonts w:hint="eastAsia" w:ascii="仿宋" w:hAnsi="仿宋" w:eastAsia="仿宋"/>
                <w:sz w:val="30"/>
                <w:szCs w:val="30"/>
              </w:rPr>
            </w:pPr>
            <w:r>
              <w:rPr>
                <w:rFonts w:hint="eastAsia" w:ascii="仿宋" w:hAnsi="仿宋" w:eastAsia="仿宋"/>
                <w:sz w:val="30"/>
                <w:szCs w:val="30"/>
              </w:rPr>
              <w:t>其他成员</w:t>
            </w:r>
          </w:p>
        </w:tc>
        <w:tc>
          <w:tcPr>
            <w:tcW w:w="1560" w:type="dxa"/>
          </w:tcPr>
          <w:p w14:paraId="2E417332">
            <w:pPr>
              <w:spacing w:line="580" w:lineRule="exact"/>
              <w:jc w:val="center"/>
              <w:rPr>
                <w:rFonts w:hint="eastAsia" w:ascii="仿宋" w:hAnsi="仿宋" w:eastAsia="仿宋"/>
                <w:sz w:val="30"/>
                <w:szCs w:val="30"/>
              </w:rPr>
            </w:pPr>
          </w:p>
        </w:tc>
        <w:tc>
          <w:tcPr>
            <w:tcW w:w="1984" w:type="dxa"/>
          </w:tcPr>
          <w:p w14:paraId="7E27E466">
            <w:pPr>
              <w:spacing w:line="580" w:lineRule="exact"/>
              <w:jc w:val="center"/>
              <w:rPr>
                <w:rFonts w:hint="eastAsia" w:ascii="仿宋" w:hAnsi="仿宋" w:eastAsia="仿宋"/>
                <w:sz w:val="30"/>
                <w:szCs w:val="30"/>
              </w:rPr>
            </w:pPr>
          </w:p>
        </w:tc>
        <w:tc>
          <w:tcPr>
            <w:tcW w:w="1517" w:type="dxa"/>
          </w:tcPr>
          <w:p w14:paraId="76C9B347">
            <w:pPr>
              <w:spacing w:line="580" w:lineRule="exact"/>
              <w:jc w:val="center"/>
              <w:rPr>
                <w:rFonts w:hint="eastAsia" w:ascii="仿宋" w:hAnsi="仿宋" w:eastAsia="仿宋"/>
                <w:sz w:val="30"/>
                <w:szCs w:val="30"/>
              </w:rPr>
            </w:pPr>
          </w:p>
        </w:tc>
        <w:tc>
          <w:tcPr>
            <w:tcW w:w="2169" w:type="dxa"/>
          </w:tcPr>
          <w:p w14:paraId="62457AAC">
            <w:pPr>
              <w:spacing w:line="580" w:lineRule="exact"/>
              <w:jc w:val="center"/>
              <w:rPr>
                <w:rFonts w:hint="eastAsia" w:ascii="仿宋" w:hAnsi="仿宋" w:eastAsia="仿宋"/>
                <w:sz w:val="30"/>
                <w:szCs w:val="30"/>
              </w:rPr>
            </w:pPr>
          </w:p>
        </w:tc>
      </w:tr>
      <w:tr w14:paraId="0AF4DA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3" w:type="dxa"/>
            <w:vMerge w:val="continue"/>
          </w:tcPr>
          <w:p w14:paraId="7D5D0546">
            <w:pPr>
              <w:spacing w:line="580" w:lineRule="exact"/>
              <w:jc w:val="center"/>
              <w:rPr>
                <w:rFonts w:hint="eastAsia" w:ascii="仿宋" w:hAnsi="仿宋" w:eastAsia="仿宋"/>
                <w:sz w:val="30"/>
                <w:szCs w:val="30"/>
              </w:rPr>
            </w:pPr>
          </w:p>
        </w:tc>
        <w:tc>
          <w:tcPr>
            <w:tcW w:w="1417" w:type="dxa"/>
            <w:vMerge w:val="continue"/>
          </w:tcPr>
          <w:p w14:paraId="56BF55C0">
            <w:pPr>
              <w:spacing w:line="580" w:lineRule="exact"/>
              <w:jc w:val="center"/>
              <w:rPr>
                <w:rFonts w:hint="eastAsia" w:ascii="仿宋" w:hAnsi="仿宋" w:eastAsia="仿宋"/>
                <w:sz w:val="30"/>
                <w:szCs w:val="30"/>
              </w:rPr>
            </w:pPr>
          </w:p>
        </w:tc>
        <w:tc>
          <w:tcPr>
            <w:tcW w:w="1560" w:type="dxa"/>
          </w:tcPr>
          <w:p w14:paraId="2223C7DF">
            <w:pPr>
              <w:spacing w:line="580" w:lineRule="exact"/>
              <w:jc w:val="center"/>
              <w:rPr>
                <w:rFonts w:hint="eastAsia" w:ascii="仿宋" w:hAnsi="仿宋" w:eastAsia="仿宋"/>
                <w:sz w:val="30"/>
                <w:szCs w:val="30"/>
              </w:rPr>
            </w:pPr>
          </w:p>
        </w:tc>
        <w:tc>
          <w:tcPr>
            <w:tcW w:w="1984" w:type="dxa"/>
          </w:tcPr>
          <w:p w14:paraId="2D59A066">
            <w:pPr>
              <w:spacing w:line="580" w:lineRule="exact"/>
              <w:jc w:val="center"/>
              <w:rPr>
                <w:rFonts w:hint="eastAsia" w:ascii="仿宋" w:hAnsi="仿宋" w:eastAsia="仿宋"/>
                <w:sz w:val="30"/>
                <w:szCs w:val="30"/>
              </w:rPr>
            </w:pPr>
          </w:p>
        </w:tc>
        <w:tc>
          <w:tcPr>
            <w:tcW w:w="1517" w:type="dxa"/>
          </w:tcPr>
          <w:p w14:paraId="720071C2">
            <w:pPr>
              <w:spacing w:line="580" w:lineRule="exact"/>
              <w:jc w:val="center"/>
              <w:rPr>
                <w:rFonts w:hint="eastAsia" w:ascii="仿宋" w:hAnsi="仿宋" w:eastAsia="仿宋"/>
                <w:sz w:val="30"/>
                <w:szCs w:val="30"/>
              </w:rPr>
            </w:pPr>
          </w:p>
        </w:tc>
        <w:tc>
          <w:tcPr>
            <w:tcW w:w="2169" w:type="dxa"/>
          </w:tcPr>
          <w:p w14:paraId="607B8696">
            <w:pPr>
              <w:spacing w:line="580" w:lineRule="exact"/>
              <w:jc w:val="center"/>
              <w:rPr>
                <w:rFonts w:hint="eastAsia" w:ascii="仿宋" w:hAnsi="仿宋" w:eastAsia="仿宋"/>
                <w:sz w:val="30"/>
                <w:szCs w:val="30"/>
              </w:rPr>
            </w:pPr>
          </w:p>
        </w:tc>
      </w:tr>
      <w:tr w14:paraId="27724F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3" w:type="dxa"/>
            <w:vMerge w:val="continue"/>
          </w:tcPr>
          <w:p w14:paraId="207F7B2F">
            <w:pPr>
              <w:spacing w:line="580" w:lineRule="exact"/>
              <w:jc w:val="center"/>
              <w:rPr>
                <w:rFonts w:hint="eastAsia" w:ascii="仿宋" w:hAnsi="仿宋" w:eastAsia="仿宋"/>
                <w:sz w:val="30"/>
                <w:szCs w:val="30"/>
              </w:rPr>
            </w:pPr>
          </w:p>
        </w:tc>
        <w:tc>
          <w:tcPr>
            <w:tcW w:w="1417" w:type="dxa"/>
            <w:vMerge w:val="continue"/>
          </w:tcPr>
          <w:p w14:paraId="0D37A423">
            <w:pPr>
              <w:spacing w:line="580" w:lineRule="exact"/>
              <w:jc w:val="center"/>
              <w:rPr>
                <w:rFonts w:hint="eastAsia" w:ascii="仿宋" w:hAnsi="仿宋" w:eastAsia="仿宋"/>
                <w:sz w:val="30"/>
                <w:szCs w:val="30"/>
              </w:rPr>
            </w:pPr>
          </w:p>
        </w:tc>
        <w:tc>
          <w:tcPr>
            <w:tcW w:w="1560" w:type="dxa"/>
          </w:tcPr>
          <w:p w14:paraId="29D4AA04">
            <w:pPr>
              <w:spacing w:line="580" w:lineRule="exact"/>
              <w:jc w:val="center"/>
              <w:rPr>
                <w:rFonts w:hint="eastAsia" w:ascii="仿宋" w:hAnsi="仿宋" w:eastAsia="仿宋"/>
                <w:sz w:val="30"/>
                <w:szCs w:val="30"/>
              </w:rPr>
            </w:pPr>
          </w:p>
        </w:tc>
        <w:tc>
          <w:tcPr>
            <w:tcW w:w="1984" w:type="dxa"/>
          </w:tcPr>
          <w:p w14:paraId="0303D45E">
            <w:pPr>
              <w:spacing w:line="580" w:lineRule="exact"/>
              <w:jc w:val="center"/>
              <w:rPr>
                <w:rFonts w:hint="eastAsia" w:ascii="仿宋" w:hAnsi="仿宋" w:eastAsia="仿宋"/>
                <w:sz w:val="30"/>
                <w:szCs w:val="30"/>
              </w:rPr>
            </w:pPr>
          </w:p>
        </w:tc>
        <w:tc>
          <w:tcPr>
            <w:tcW w:w="1517" w:type="dxa"/>
          </w:tcPr>
          <w:p w14:paraId="03454F59">
            <w:pPr>
              <w:spacing w:line="580" w:lineRule="exact"/>
              <w:jc w:val="center"/>
              <w:rPr>
                <w:rFonts w:hint="eastAsia" w:ascii="仿宋" w:hAnsi="仿宋" w:eastAsia="仿宋"/>
                <w:sz w:val="30"/>
                <w:szCs w:val="30"/>
              </w:rPr>
            </w:pPr>
          </w:p>
        </w:tc>
        <w:tc>
          <w:tcPr>
            <w:tcW w:w="2169" w:type="dxa"/>
          </w:tcPr>
          <w:p w14:paraId="00A0573B">
            <w:pPr>
              <w:spacing w:line="580" w:lineRule="exact"/>
              <w:jc w:val="center"/>
              <w:rPr>
                <w:rFonts w:hint="eastAsia" w:ascii="仿宋" w:hAnsi="仿宋" w:eastAsia="仿宋"/>
                <w:sz w:val="30"/>
                <w:szCs w:val="30"/>
              </w:rPr>
            </w:pPr>
          </w:p>
        </w:tc>
      </w:tr>
      <w:tr w14:paraId="34896D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trPr>
        <w:tc>
          <w:tcPr>
            <w:tcW w:w="2580" w:type="dxa"/>
            <w:gridSpan w:val="2"/>
            <w:vAlign w:val="center"/>
          </w:tcPr>
          <w:p w14:paraId="21416460">
            <w:pPr>
              <w:spacing w:line="580" w:lineRule="exact"/>
              <w:jc w:val="center"/>
              <w:rPr>
                <w:rFonts w:hint="eastAsia" w:ascii="仿宋" w:hAnsi="仿宋" w:eastAsia="仿宋"/>
                <w:sz w:val="30"/>
                <w:szCs w:val="30"/>
              </w:rPr>
            </w:pPr>
            <w:r>
              <w:rPr>
                <w:rFonts w:hint="eastAsia" w:ascii="仿宋" w:hAnsi="仿宋" w:eastAsia="仿宋"/>
                <w:sz w:val="30"/>
                <w:szCs w:val="30"/>
              </w:rPr>
              <w:t>揭榜方与项目</w:t>
            </w:r>
          </w:p>
          <w:p w14:paraId="358C0066">
            <w:pPr>
              <w:spacing w:line="580" w:lineRule="exact"/>
              <w:jc w:val="center"/>
              <w:rPr>
                <w:rFonts w:hint="eastAsia" w:ascii="仿宋" w:hAnsi="仿宋" w:eastAsia="仿宋"/>
                <w:sz w:val="30"/>
                <w:szCs w:val="30"/>
              </w:rPr>
            </w:pPr>
            <w:r>
              <w:rPr>
                <w:rFonts w:hint="eastAsia" w:ascii="仿宋" w:hAnsi="仿宋" w:eastAsia="仿宋"/>
                <w:sz w:val="30"/>
                <w:szCs w:val="30"/>
              </w:rPr>
              <w:t>相关的科研优势</w:t>
            </w:r>
          </w:p>
        </w:tc>
        <w:tc>
          <w:tcPr>
            <w:tcW w:w="7230" w:type="dxa"/>
            <w:gridSpan w:val="4"/>
          </w:tcPr>
          <w:p w14:paraId="67DA5BC3">
            <w:pPr>
              <w:spacing w:line="400" w:lineRule="exact"/>
              <w:jc w:val="left"/>
              <w:rPr>
                <w:rFonts w:hint="eastAsia" w:ascii="仿宋" w:hAnsi="仿宋" w:eastAsia="仿宋"/>
                <w:sz w:val="30"/>
                <w:szCs w:val="30"/>
              </w:rPr>
            </w:pPr>
          </w:p>
        </w:tc>
      </w:tr>
      <w:tr w14:paraId="3EAE2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7" w:hRule="atLeast"/>
        </w:trPr>
        <w:tc>
          <w:tcPr>
            <w:tcW w:w="2580" w:type="dxa"/>
            <w:gridSpan w:val="2"/>
            <w:vAlign w:val="center"/>
          </w:tcPr>
          <w:p w14:paraId="550F15E7">
            <w:pPr>
              <w:spacing w:before="100" w:beforeAutospacing="1" w:after="100" w:afterAutospacing="1" w:line="580" w:lineRule="exact"/>
              <w:jc w:val="center"/>
              <w:rPr>
                <w:rFonts w:hint="eastAsia" w:ascii="仿宋" w:hAnsi="仿宋" w:eastAsia="仿宋"/>
                <w:sz w:val="30"/>
                <w:szCs w:val="30"/>
              </w:rPr>
            </w:pPr>
            <w:r>
              <w:rPr>
                <w:rFonts w:hint="eastAsia" w:ascii="仿宋" w:hAnsi="仿宋" w:eastAsia="仿宋"/>
                <w:sz w:val="30"/>
                <w:szCs w:val="30"/>
              </w:rPr>
              <w:t>揭榜挂帅者承诺</w:t>
            </w:r>
          </w:p>
        </w:tc>
        <w:tc>
          <w:tcPr>
            <w:tcW w:w="7230" w:type="dxa"/>
            <w:gridSpan w:val="4"/>
          </w:tcPr>
          <w:p w14:paraId="5970BB75">
            <w:pPr>
              <w:spacing w:before="100" w:beforeAutospacing="1" w:after="100" w:afterAutospacing="1" w:line="580" w:lineRule="exact"/>
              <w:jc w:val="left"/>
              <w:rPr>
                <w:rFonts w:hint="eastAsia" w:ascii="仿宋" w:hAnsi="仿宋" w:eastAsia="仿宋"/>
                <w:sz w:val="30"/>
                <w:szCs w:val="30"/>
              </w:rPr>
            </w:pPr>
            <w:r>
              <w:rPr>
                <w:rFonts w:hint="eastAsia" w:ascii="仿宋" w:hAnsi="仿宋" w:eastAsia="仿宋"/>
                <w:sz w:val="30"/>
                <w:szCs w:val="30"/>
              </w:rPr>
              <w:t>本人承诺，以上所填内容属实。若有不实，愿意接受所带来的不良影响。</w:t>
            </w:r>
          </w:p>
          <w:p w14:paraId="0FEA3855">
            <w:pPr>
              <w:spacing w:line="580" w:lineRule="exact"/>
              <w:jc w:val="left"/>
              <w:rPr>
                <w:rFonts w:hint="eastAsia" w:ascii="仿宋" w:hAnsi="仿宋" w:eastAsia="仿宋"/>
                <w:sz w:val="30"/>
                <w:szCs w:val="30"/>
              </w:rPr>
            </w:pPr>
            <w:r>
              <w:rPr>
                <w:rFonts w:ascii="仿宋" w:hAnsi="仿宋" w:eastAsia="仿宋"/>
                <w:sz w:val="30"/>
                <w:szCs w:val="30"/>
              </w:rPr>
              <w:t xml:space="preserve">    揭榜挂帅者：                年  月  日</w:t>
            </w:r>
          </w:p>
        </w:tc>
      </w:tr>
      <w:tr w14:paraId="20FC1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7" w:hRule="atLeast"/>
        </w:trPr>
        <w:tc>
          <w:tcPr>
            <w:tcW w:w="2580" w:type="dxa"/>
            <w:gridSpan w:val="2"/>
            <w:vAlign w:val="center"/>
          </w:tcPr>
          <w:p w14:paraId="2BC4EEFC">
            <w:pPr>
              <w:spacing w:before="100" w:beforeAutospacing="1" w:after="100" w:afterAutospacing="1" w:line="580" w:lineRule="exact"/>
              <w:jc w:val="center"/>
              <w:rPr>
                <w:rFonts w:hint="eastAsia" w:ascii="仿宋" w:hAnsi="仿宋" w:eastAsia="仿宋"/>
                <w:sz w:val="30"/>
                <w:szCs w:val="30"/>
              </w:rPr>
            </w:pPr>
            <w:r>
              <w:rPr>
                <w:rFonts w:hint="eastAsia" w:ascii="仿宋" w:hAnsi="仿宋" w:eastAsia="仿宋"/>
                <w:sz w:val="30"/>
                <w:szCs w:val="30"/>
              </w:rPr>
              <w:t>揭榜方单位意见</w:t>
            </w:r>
          </w:p>
        </w:tc>
        <w:tc>
          <w:tcPr>
            <w:tcW w:w="7230" w:type="dxa"/>
            <w:gridSpan w:val="4"/>
          </w:tcPr>
          <w:p w14:paraId="5C2AFDF0">
            <w:pPr>
              <w:spacing w:before="100" w:beforeAutospacing="1" w:after="100" w:afterAutospacing="1" w:line="580" w:lineRule="exact"/>
              <w:ind w:firstLine="600" w:firstLineChars="200"/>
              <w:jc w:val="left"/>
              <w:rPr>
                <w:rFonts w:hint="eastAsia" w:ascii="仿宋" w:hAnsi="仿宋" w:eastAsia="仿宋"/>
                <w:sz w:val="30"/>
                <w:szCs w:val="30"/>
              </w:rPr>
            </w:pPr>
            <w:r>
              <w:rPr>
                <w:rFonts w:hint="eastAsia" w:ascii="仿宋" w:hAnsi="仿宋" w:eastAsia="仿宋"/>
                <w:sz w:val="30"/>
                <w:szCs w:val="30"/>
              </w:rPr>
              <w:t>情况属实，同意申请。</w:t>
            </w:r>
          </w:p>
          <w:p w14:paraId="7D6D7AA8">
            <w:pPr>
              <w:spacing w:line="580" w:lineRule="exact"/>
              <w:jc w:val="left"/>
              <w:rPr>
                <w:rFonts w:hint="eastAsia" w:ascii="仿宋" w:hAnsi="仿宋" w:eastAsia="仿宋"/>
                <w:sz w:val="30"/>
                <w:szCs w:val="30"/>
              </w:rPr>
            </w:pPr>
            <w:r>
              <w:rPr>
                <w:rFonts w:ascii="仿宋" w:hAnsi="仿宋" w:eastAsia="仿宋"/>
                <w:sz w:val="30"/>
                <w:szCs w:val="30"/>
              </w:rPr>
              <w:t xml:space="preserve">                                 （盖章）</w:t>
            </w:r>
          </w:p>
          <w:p w14:paraId="52BAD069">
            <w:pPr>
              <w:spacing w:line="580" w:lineRule="exact"/>
              <w:jc w:val="left"/>
              <w:rPr>
                <w:rFonts w:hint="eastAsia" w:ascii="仿宋" w:hAnsi="仿宋" w:eastAsia="仿宋"/>
                <w:sz w:val="30"/>
                <w:szCs w:val="30"/>
              </w:rPr>
            </w:pPr>
            <w:r>
              <w:rPr>
                <w:rFonts w:ascii="仿宋" w:hAnsi="仿宋" w:eastAsia="仿宋"/>
                <w:sz w:val="30"/>
                <w:szCs w:val="30"/>
              </w:rPr>
              <w:t xml:space="preserve">                                年  月  日</w:t>
            </w:r>
          </w:p>
        </w:tc>
      </w:tr>
    </w:tbl>
    <w:p w14:paraId="451327B5">
      <w:pPr>
        <w:spacing w:line="360" w:lineRule="auto"/>
        <w:ind w:firstLine="640" w:firstLineChars="200"/>
        <w:rPr>
          <w:rFonts w:hint="eastAsia" w:ascii="仿宋" w:hAnsi="仿宋" w:eastAsia="仿宋" w:cs="仿宋"/>
          <w:kern w:val="0"/>
          <w:sz w:val="32"/>
          <w:szCs w:val="32"/>
        </w:rPr>
      </w:pPr>
    </w:p>
    <w:p w14:paraId="470D6085">
      <w:r>
        <w:rPr>
          <w:rFonts w:hint="eastAsia"/>
        </w:rPr>
        <w:br w:type="page"/>
      </w:r>
    </w:p>
    <w:p w14:paraId="71CBDE0F"/>
    <w:p w14:paraId="60A0922B">
      <w:pPr>
        <w:spacing w:line="420" w:lineRule="exact"/>
        <w:jc w:val="left"/>
        <w:rPr>
          <w:rFonts w:hint="eastAsia" w:ascii="仿宋" w:hAnsi="仿宋" w:eastAsia="仿宋" w:cs="仿宋"/>
          <w:b/>
          <w:bCs/>
          <w:sz w:val="36"/>
          <w:szCs w:val="36"/>
        </w:rPr>
      </w:pPr>
      <w:r>
        <w:rPr>
          <w:rFonts w:hint="eastAsia" w:ascii="仿宋" w:hAnsi="仿宋" w:eastAsia="仿宋" w:cs="仿宋"/>
          <w:kern w:val="0"/>
          <w:sz w:val="32"/>
          <w:szCs w:val="32"/>
        </w:rPr>
        <w:t>附件2</w:t>
      </w:r>
    </w:p>
    <w:p w14:paraId="141CDCDE">
      <w:pPr>
        <w:spacing w:line="420" w:lineRule="exact"/>
        <w:jc w:val="center"/>
        <w:rPr>
          <w:rFonts w:hint="eastAsia" w:ascii="仿宋" w:hAnsi="仿宋" w:eastAsia="仿宋" w:cs="仿宋"/>
          <w:b/>
          <w:bCs/>
          <w:sz w:val="36"/>
          <w:szCs w:val="36"/>
        </w:rPr>
      </w:pPr>
      <w:r>
        <w:rPr>
          <w:rFonts w:hint="eastAsia" w:ascii="仿宋" w:hAnsi="仿宋" w:eastAsia="仿宋" w:cs="仿宋"/>
          <w:b/>
          <w:bCs/>
          <w:sz w:val="36"/>
          <w:szCs w:val="36"/>
        </w:rPr>
        <w:t>法定代表人身份证明</w:t>
      </w:r>
    </w:p>
    <w:p w14:paraId="20E2B872">
      <w:pPr>
        <w:spacing w:line="660" w:lineRule="exact"/>
        <w:jc w:val="center"/>
        <w:rPr>
          <w:rFonts w:hint="eastAsia" w:ascii="仿宋" w:hAnsi="仿宋" w:eastAsia="仿宋" w:cs="仿宋"/>
          <w:sz w:val="28"/>
          <w:szCs w:val="28"/>
        </w:rPr>
      </w:pPr>
    </w:p>
    <w:p w14:paraId="76C43B75">
      <w:pPr>
        <w:spacing w:line="6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兹证明</w:t>
      </w:r>
      <w:r>
        <w:rPr>
          <w:rFonts w:hint="eastAsia" w:ascii="仿宋" w:hAnsi="仿宋" w:eastAsia="仿宋" w:cs="仿宋"/>
          <w:sz w:val="32"/>
          <w:szCs w:val="32"/>
          <w:u w:val="single"/>
        </w:rPr>
        <w:t xml:space="preserve">     </w:t>
      </w:r>
      <w:r>
        <w:rPr>
          <w:rFonts w:hint="eastAsia" w:ascii="仿宋" w:hAnsi="仿宋" w:eastAsia="仿宋" w:cs="仿宋"/>
          <w:sz w:val="32"/>
          <w:szCs w:val="32"/>
        </w:rPr>
        <w:t>同志在我单位担任执行</w:t>
      </w:r>
      <w:r>
        <w:rPr>
          <w:rFonts w:hint="eastAsia" w:ascii="仿宋" w:hAnsi="仿宋" w:eastAsia="仿宋" w:cs="仿宋"/>
          <w:sz w:val="32"/>
          <w:szCs w:val="32"/>
          <w:u w:val="single"/>
        </w:rPr>
        <w:t xml:space="preserve">    </w:t>
      </w:r>
      <w:r>
        <w:rPr>
          <w:rFonts w:hint="eastAsia" w:ascii="仿宋" w:hAnsi="仿宋" w:eastAsia="仿宋" w:cs="仿宋"/>
          <w:sz w:val="32"/>
          <w:szCs w:val="32"/>
        </w:rPr>
        <w:t>职务，系我单位的法定代表人。</w:t>
      </w:r>
    </w:p>
    <w:p w14:paraId="5BF55484">
      <w:pPr>
        <w:spacing w:line="6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特此证明！</w:t>
      </w:r>
    </w:p>
    <w:p w14:paraId="1AEACF50">
      <w:pPr>
        <w:spacing w:line="660" w:lineRule="exact"/>
        <w:ind w:firstLine="640" w:firstLineChars="200"/>
        <w:rPr>
          <w:rFonts w:hint="eastAsia" w:ascii="仿宋" w:hAnsi="仿宋" w:eastAsia="仿宋" w:cs="仿宋"/>
          <w:sz w:val="32"/>
          <w:szCs w:val="32"/>
        </w:rPr>
      </w:pPr>
    </w:p>
    <w:p w14:paraId="11B00CDB">
      <w:pPr>
        <w:spacing w:line="660" w:lineRule="exact"/>
        <w:ind w:firstLine="640" w:firstLineChars="200"/>
        <w:rPr>
          <w:rFonts w:hint="eastAsia" w:ascii="仿宋" w:hAnsi="仿宋" w:eastAsia="仿宋" w:cs="仿宋"/>
          <w:sz w:val="32"/>
          <w:szCs w:val="32"/>
        </w:rPr>
      </w:pPr>
    </w:p>
    <w:p w14:paraId="2893088E">
      <w:pPr>
        <w:spacing w:line="660" w:lineRule="exact"/>
        <w:ind w:right="640"/>
        <w:jc w:val="center"/>
        <w:rPr>
          <w:rFonts w:hint="eastAsia" w:ascii="仿宋" w:hAnsi="仿宋" w:eastAsia="仿宋" w:cs="仿宋"/>
          <w:sz w:val="32"/>
          <w:szCs w:val="32"/>
        </w:rPr>
      </w:pPr>
      <w:r>
        <w:rPr>
          <w:rFonts w:hint="eastAsia" w:ascii="仿宋" w:hAnsi="仿宋" w:eastAsia="仿宋" w:cs="仿宋"/>
          <w:sz w:val="32"/>
          <w:szCs w:val="32"/>
        </w:rPr>
        <w:t xml:space="preserve">                                  （盖章）</w:t>
      </w:r>
    </w:p>
    <w:p w14:paraId="5F6DF322">
      <w:pPr>
        <w:spacing w:line="660" w:lineRule="exact"/>
        <w:jc w:val="right"/>
        <w:rPr>
          <w:rFonts w:hint="eastAsia" w:ascii="仿宋" w:hAnsi="仿宋" w:eastAsia="仿宋" w:cs="仿宋"/>
          <w:sz w:val="32"/>
          <w:szCs w:val="32"/>
        </w:rPr>
      </w:pPr>
      <w:r>
        <w:rPr>
          <w:rFonts w:hint="eastAsia" w:ascii="仿宋" w:hAnsi="仿宋" w:eastAsia="仿宋" w:cs="仿宋"/>
          <w:sz w:val="32"/>
          <w:szCs w:val="32"/>
        </w:rPr>
        <w:t>年   月   日</w:t>
      </w:r>
    </w:p>
    <w:p w14:paraId="41C95FA8">
      <w:pPr>
        <w:spacing w:line="360" w:lineRule="auto"/>
        <w:ind w:firstLine="640" w:firstLineChars="200"/>
        <w:rPr>
          <w:rFonts w:hint="eastAsia" w:ascii="仿宋" w:hAnsi="仿宋" w:eastAsia="仿宋" w:cs="仿宋"/>
          <w:kern w:val="0"/>
          <w:sz w:val="32"/>
          <w:szCs w:val="32"/>
        </w:rPr>
      </w:pPr>
    </w:p>
    <w:p w14:paraId="2F0E1479">
      <w:pPr>
        <w:spacing w:line="360" w:lineRule="auto"/>
        <w:jc w:val="center"/>
        <w:rPr>
          <w:rFonts w:hint="eastAsia" w:ascii="仿宋" w:hAnsi="仿宋" w:eastAsia="仿宋"/>
          <w:b/>
          <w:bCs/>
          <w:color w:val="000000"/>
          <w:sz w:val="48"/>
          <w:szCs w:val="48"/>
        </w:rPr>
      </w:pPr>
      <w:r>
        <w:rPr>
          <w:rFonts w:ascii="仿宋" w:hAnsi="仿宋" w:eastAsia="仿宋" w:cs="仿宋"/>
          <w:kern w:val="0"/>
          <w:sz w:val="32"/>
          <w:szCs w:val="32"/>
        </w:rPr>
        <w:br w:type="page"/>
      </w:r>
      <w:r>
        <w:rPr>
          <w:rFonts w:hint="eastAsia" w:ascii="仿宋" w:hAnsi="仿宋" w:eastAsia="仿宋"/>
          <w:b/>
          <w:bCs/>
          <w:color w:val="000000"/>
          <w:sz w:val="48"/>
          <w:szCs w:val="48"/>
        </w:rPr>
        <w:t>授权委托书</w:t>
      </w:r>
    </w:p>
    <w:p w14:paraId="096EB3CB">
      <w:pPr>
        <w:spacing w:line="360" w:lineRule="auto"/>
        <w:jc w:val="center"/>
        <w:rPr>
          <w:rFonts w:hint="eastAsia" w:ascii="仿宋" w:hAnsi="仿宋" w:eastAsia="仿宋"/>
          <w:b/>
          <w:bCs/>
          <w:color w:val="000000"/>
        </w:rPr>
      </w:pPr>
    </w:p>
    <w:p w14:paraId="49B9FEEE">
      <w:pPr>
        <w:spacing w:line="360" w:lineRule="auto"/>
        <w:jc w:val="center"/>
        <w:rPr>
          <w:rFonts w:hint="eastAsia" w:ascii="仿宋" w:hAnsi="仿宋" w:eastAsia="仿宋"/>
          <w:b/>
          <w:bCs/>
          <w:color w:val="000000"/>
        </w:rPr>
      </w:pPr>
    </w:p>
    <w:p w14:paraId="2FA0DEF2">
      <w:pPr>
        <w:spacing w:line="360" w:lineRule="auto"/>
        <w:jc w:val="center"/>
        <w:rPr>
          <w:rFonts w:hint="eastAsia" w:ascii="仿宋" w:hAnsi="仿宋" w:eastAsia="仿宋"/>
          <w:b/>
          <w:bCs/>
          <w:color w:val="000000"/>
          <w:sz w:val="32"/>
          <w:szCs w:val="32"/>
        </w:rPr>
      </w:pPr>
    </w:p>
    <w:p w14:paraId="32439893">
      <w:pPr>
        <w:spacing w:line="360" w:lineRule="auto"/>
        <w:ind w:left="179" w:leftChars="85" w:right="178" w:rightChars="85" w:hanging="1"/>
        <w:rPr>
          <w:rFonts w:hint="eastAsia" w:ascii="仿宋" w:hAnsi="仿宋" w:eastAsia="仿宋"/>
          <w:color w:val="000000"/>
          <w:sz w:val="32"/>
          <w:szCs w:val="32"/>
        </w:rPr>
      </w:pPr>
      <w:r>
        <w:rPr>
          <w:rFonts w:hint="eastAsia" w:ascii="仿宋" w:hAnsi="仿宋" w:eastAsia="仿宋"/>
          <w:color w:val="000000"/>
          <w:sz w:val="32"/>
          <w:szCs w:val="32"/>
        </w:rPr>
        <w:t xml:space="preserve">    本授权委托书声明：我</w:t>
      </w:r>
      <w:r>
        <w:rPr>
          <w:rFonts w:hint="eastAsia" w:ascii="仿宋" w:hAnsi="仿宋" w:eastAsia="仿宋"/>
          <w:color w:val="000000"/>
          <w:sz w:val="32"/>
          <w:szCs w:val="32"/>
          <w:u w:val="single"/>
        </w:rPr>
        <w:t xml:space="preserve">     </w:t>
      </w:r>
      <w:r>
        <w:rPr>
          <w:rFonts w:hint="eastAsia" w:ascii="仿宋" w:hAnsi="仿宋" w:eastAsia="仿宋"/>
          <w:color w:val="000000"/>
          <w:sz w:val="32"/>
          <w:szCs w:val="32"/>
        </w:rPr>
        <w:t>系</w:t>
      </w:r>
      <w:r>
        <w:rPr>
          <w:rFonts w:hint="eastAsia" w:ascii="仿宋" w:hAnsi="仿宋" w:eastAsia="仿宋"/>
          <w:color w:val="000000"/>
          <w:sz w:val="32"/>
          <w:szCs w:val="32"/>
          <w:u w:val="single"/>
        </w:rPr>
        <w:t xml:space="preserve">      </w:t>
      </w:r>
      <w:r>
        <w:rPr>
          <w:rFonts w:hint="eastAsia" w:ascii="仿宋" w:hAnsi="仿宋" w:eastAsia="仿宋"/>
          <w:color w:val="000000"/>
          <w:sz w:val="32"/>
          <w:szCs w:val="32"/>
        </w:rPr>
        <w:t>的法定代表人，现授权委托</w:t>
      </w:r>
      <w:r>
        <w:rPr>
          <w:rFonts w:hint="eastAsia" w:ascii="仿宋" w:hAnsi="仿宋" w:eastAsia="仿宋"/>
          <w:color w:val="000000"/>
          <w:sz w:val="32"/>
          <w:szCs w:val="32"/>
          <w:u w:val="single"/>
        </w:rPr>
        <w:t xml:space="preserve">       </w:t>
      </w:r>
      <w:r>
        <w:rPr>
          <w:rFonts w:hint="eastAsia" w:ascii="仿宋" w:hAnsi="仿宋" w:eastAsia="仿宋"/>
          <w:color w:val="000000"/>
          <w:sz w:val="32"/>
          <w:szCs w:val="32"/>
        </w:rPr>
        <w:t xml:space="preserve">作为本单位的受托人，全权负责办理 </w:t>
      </w:r>
      <w:r>
        <w:rPr>
          <w:rFonts w:hint="eastAsia" w:ascii="仿宋" w:hAnsi="仿宋" w:eastAsia="仿宋"/>
          <w:color w:val="000000"/>
          <w:sz w:val="32"/>
          <w:szCs w:val="32"/>
          <w:u w:val="single"/>
        </w:rPr>
        <w:t xml:space="preserve">             </w:t>
      </w:r>
      <w:r>
        <w:rPr>
          <w:rFonts w:hint="eastAsia" w:ascii="仿宋" w:hAnsi="仿宋" w:eastAsia="仿宋"/>
          <w:color w:val="000000"/>
          <w:sz w:val="32"/>
          <w:szCs w:val="32"/>
        </w:rPr>
        <w:t xml:space="preserve">项目的揭榜事宜， </w:t>
      </w:r>
      <w:r>
        <w:rPr>
          <w:rFonts w:hint="eastAsia" w:ascii="仿宋" w:hAnsi="仿宋" w:eastAsia="仿宋"/>
          <w:color w:val="000000"/>
          <w:sz w:val="32"/>
          <w:szCs w:val="32"/>
          <w:u w:val="single"/>
        </w:rPr>
        <w:t xml:space="preserve">       </w:t>
      </w:r>
      <w:r>
        <w:rPr>
          <w:rFonts w:hint="eastAsia" w:ascii="仿宋" w:hAnsi="仿宋" w:eastAsia="仿宋"/>
          <w:color w:val="000000"/>
          <w:sz w:val="32"/>
          <w:szCs w:val="32"/>
        </w:rPr>
        <w:t xml:space="preserve"> 作为代理人无转委托权，特此委托。</w:t>
      </w:r>
    </w:p>
    <w:p w14:paraId="5A974DB2">
      <w:pPr>
        <w:spacing w:line="360" w:lineRule="auto"/>
        <w:ind w:firstLine="320" w:firstLineChars="100"/>
        <w:rPr>
          <w:rFonts w:hint="eastAsia" w:ascii="仿宋" w:hAnsi="仿宋" w:eastAsia="仿宋"/>
          <w:color w:val="000000"/>
          <w:sz w:val="32"/>
          <w:szCs w:val="32"/>
        </w:rPr>
      </w:pPr>
    </w:p>
    <w:p w14:paraId="52057063">
      <w:pPr>
        <w:spacing w:line="360" w:lineRule="auto"/>
        <w:rPr>
          <w:rFonts w:hint="eastAsia" w:ascii="仿宋" w:hAnsi="仿宋" w:eastAsia="仿宋"/>
          <w:color w:val="000000"/>
          <w:sz w:val="32"/>
          <w:szCs w:val="32"/>
        </w:rPr>
      </w:pPr>
    </w:p>
    <w:p w14:paraId="5E54F6EE">
      <w:pPr>
        <w:spacing w:line="360" w:lineRule="auto"/>
        <w:rPr>
          <w:rFonts w:hint="eastAsia" w:ascii="仿宋" w:hAnsi="仿宋" w:eastAsia="仿宋"/>
          <w:color w:val="000000"/>
          <w:sz w:val="32"/>
          <w:szCs w:val="32"/>
        </w:rPr>
      </w:pPr>
    </w:p>
    <w:p w14:paraId="4775D22E">
      <w:pPr>
        <w:spacing w:line="360" w:lineRule="auto"/>
        <w:ind w:firstLine="2560" w:firstLineChars="800"/>
        <w:rPr>
          <w:rFonts w:hint="eastAsia" w:ascii="仿宋" w:hAnsi="仿宋" w:eastAsia="仿宋"/>
          <w:color w:val="000000"/>
          <w:sz w:val="32"/>
          <w:szCs w:val="32"/>
        </w:rPr>
      </w:pPr>
    </w:p>
    <w:p w14:paraId="76556197">
      <w:pPr>
        <w:spacing w:line="360" w:lineRule="auto"/>
        <w:ind w:firstLine="2560" w:firstLineChars="800"/>
        <w:rPr>
          <w:rFonts w:hint="eastAsia" w:ascii="仿宋" w:hAnsi="仿宋" w:eastAsia="仿宋"/>
          <w:color w:val="000000"/>
          <w:sz w:val="32"/>
          <w:szCs w:val="32"/>
        </w:rPr>
      </w:pPr>
    </w:p>
    <w:p w14:paraId="1F01DB32">
      <w:pPr>
        <w:spacing w:line="360" w:lineRule="auto"/>
        <w:ind w:firstLine="2560" w:firstLineChars="800"/>
        <w:rPr>
          <w:rFonts w:hint="eastAsia" w:ascii="仿宋" w:hAnsi="仿宋" w:eastAsia="仿宋"/>
          <w:color w:val="000000"/>
          <w:sz w:val="32"/>
          <w:szCs w:val="32"/>
        </w:rPr>
      </w:pPr>
    </w:p>
    <w:p w14:paraId="38EF4F62">
      <w:pPr>
        <w:spacing w:line="360" w:lineRule="auto"/>
        <w:ind w:left="179" w:leftChars="85" w:right="178" w:rightChars="85" w:hanging="1"/>
        <w:rPr>
          <w:rFonts w:hint="eastAsia" w:ascii="仿宋" w:hAnsi="仿宋" w:eastAsia="仿宋"/>
          <w:color w:val="000000"/>
          <w:sz w:val="32"/>
          <w:szCs w:val="32"/>
        </w:rPr>
      </w:pPr>
      <w:r>
        <w:rPr>
          <w:rFonts w:hint="eastAsia" w:ascii="仿宋" w:hAnsi="仿宋" w:eastAsia="仿宋"/>
          <w:color w:val="000000"/>
          <w:sz w:val="32"/>
          <w:szCs w:val="32"/>
        </w:rPr>
        <w:t>委  托  人：</w:t>
      </w:r>
      <w:r>
        <w:rPr>
          <w:rFonts w:hint="eastAsia" w:ascii="仿宋" w:hAnsi="仿宋" w:eastAsia="仿宋"/>
          <w:color w:val="000000"/>
          <w:sz w:val="32"/>
          <w:szCs w:val="32"/>
          <w:u w:val="single"/>
        </w:rPr>
        <w:t xml:space="preserve">        （单位印章）        </w:t>
      </w:r>
      <w:r>
        <w:rPr>
          <w:rFonts w:hint="eastAsia" w:ascii="仿宋" w:hAnsi="仿宋" w:eastAsia="仿宋"/>
          <w:color w:val="000000"/>
          <w:sz w:val="32"/>
          <w:szCs w:val="32"/>
        </w:rPr>
        <w:t xml:space="preserve">  </w:t>
      </w:r>
    </w:p>
    <w:p w14:paraId="1B899190">
      <w:pPr>
        <w:spacing w:line="360" w:lineRule="auto"/>
        <w:ind w:left="179" w:leftChars="85" w:right="178" w:rightChars="85" w:hanging="1"/>
        <w:rPr>
          <w:rFonts w:hint="eastAsia" w:ascii="仿宋" w:hAnsi="仿宋" w:eastAsia="仿宋"/>
          <w:color w:val="000000"/>
          <w:sz w:val="32"/>
          <w:szCs w:val="32"/>
        </w:rPr>
      </w:pPr>
      <w:r>
        <w:rPr>
          <w:rFonts w:hint="eastAsia" w:ascii="仿宋" w:hAnsi="仿宋" w:eastAsia="仿宋"/>
          <w:color w:val="000000"/>
          <w:sz w:val="32"/>
          <w:szCs w:val="32"/>
        </w:rPr>
        <w:t>法定代表人：</w:t>
      </w:r>
      <w:r>
        <w:rPr>
          <w:rFonts w:hint="eastAsia" w:ascii="仿宋" w:hAnsi="仿宋" w:eastAsia="仿宋"/>
          <w:color w:val="000000"/>
          <w:sz w:val="32"/>
          <w:szCs w:val="32"/>
          <w:u w:val="single"/>
        </w:rPr>
        <w:t xml:space="preserve">  （签字或手签章）                                          </w:t>
      </w:r>
      <w:r>
        <w:rPr>
          <w:rFonts w:hint="eastAsia" w:ascii="仿宋" w:hAnsi="仿宋" w:eastAsia="仿宋"/>
          <w:color w:val="000000"/>
          <w:sz w:val="32"/>
          <w:szCs w:val="32"/>
        </w:rPr>
        <w:t xml:space="preserve">                  </w:t>
      </w:r>
    </w:p>
    <w:p w14:paraId="3ED064A5">
      <w:pPr>
        <w:spacing w:line="360" w:lineRule="auto"/>
        <w:ind w:left="179" w:leftChars="85" w:right="178" w:rightChars="85" w:hanging="1"/>
        <w:rPr>
          <w:rFonts w:hint="eastAsia" w:ascii="仿宋" w:hAnsi="仿宋" w:eastAsia="仿宋"/>
          <w:color w:val="000000"/>
          <w:sz w:val="32"/>
          <w:szCs w:val="32"/>
        </w:rPr>
      </w:pPr>
      <w:r>
        <w:rPr>
          <w:rFonts w:hint="eastAsia" w:ascii="仿宋" w:hAnsi="仿宋" w:eastAsia="仿宋"/>
          <w:color w:val="000000"/>
          <w:sz w:val="32"/>
          <w:szCs w:val="32"/>
        </w:rPr>
        <w:t>受  托  人：</w:t>
      </w:r>
      <w:r>
        <w:rPr>
          <w:rFonts w:hint="eastAsia" w:ascii="仿宋" w:hAnsi="仿宋" w:eastAsia="仿宋"/>
          <w:color w:val="000000"/>
          <w:sz w:val="32"/>
          <w:szCs w:val="32"/>
          <w:u w:val="single"/>
        </w:rPr>
        <w:t xml:space="preserve">    </w:t>
      </w:r>
    </w:p>
    <w:p w14:paraId="600B70CD">
      <w:pPr>
        <w:spacing w:line="360" w:lineRule="auto"/>
        <w:ind w:left="179" w:leftChars="85" w:right="178" w:rightChars="85" w:hanging="1"/>
        <w:rPr>
          <w:rFonts w:hint="eastAsia" w:ascii="仿宋" w:hAnsi="仿宋" w:eastAsia="仿宋"/>
          <w:color w:val="000000"/>
          <w:sz w:val="32"/>
          <w:szCs w:val="32"/>
        </w:rPr>
      </w:pPr>
      <w:r>
        <w:rPr>
          <w:rFonts w:hint="eastAsia" w:ascii="仿宋" w:hAnsi="仿宋" w:eastAsia="仿宋"/>
          <w:color w:val="000000"/>
          <w:sz w:val="32"/>
          <w:szCs w:val="32"/>
        </w:rPr>
        <w:t xml:space="preserve">身份证号码： </w:t>
      </w:r>
      <w:r>
        <w:rPr>
          <w:rFonts w:hint="eastAsia" w:ascii="仿宋" w:hAnsi="仿宋" w:eastAsia="仿宋"/>
          <w:color w:val="000000"/>
          <w:sz w:val="32"/>
          <w:szCs w:val="32"/>
          <w:u w:val="single"/>
        </w:rPr>
        <w:t xml:space="preserve">             </w:t>
      </w:r>
      <w:r>
        <w:rPr>
          <w:rFonts w:hint="eastAsia" w:ascii="仿宋" w:hAnsi="仿宋" w:eastAsia="仿宋"/>
          <w:color w:val="000000"/>
          <w:sz w:val="32"/>
          <w:szCs w:val="32"/>
        </w:rPr>
        <w:t xml:space="preserve">             </w:t>
      </w:r>
    </w:p>
    <w:p w14:paraId="3FA433ED">
      <w:pPr>
        <w:spacing w:line="360" w:lineRule="auto"/>
        <w:ind w:left="179" w:leftChars="85" w:right="178" w:rightChars="85" w:hanging="1"/>
        <w:rPr>
          <w:rFonts w:hint="eastAsia" w:ascii="仿宋" w:hAnsi="仿宋" w:eastAsia="仿宋"/>
          <w:color w:val="000000"/>
          <w:sz w:val="32"/>
          <w:szCs w:val="32"/>
        </w:rPr>
      </w:pPr>
      <w:r>
        <w:rPr>
          <w:rFonts w:hint="eastAsia" w:ascii="仿宋" w:hAnsi="仿宋" w:eastAsia="仿宋"/>
          <w:color w:val="000000"/>
          <w:sz w:val="32"/>
          <w:szCs w:val="32"/>
        </w:rPr>
        <w:t>日      期：</w:t>
      </w:r>
      <w:r>
        <w:rPr>
          <w:rFonts w:hint="eastAsia" w:ascii="仿宋" w:hAnsi="仿宋" w:eastAsia="仿宋"/>
          <w:color w:val="000000"/>
          <w:sz w:val="32"/>
          <w:szCs w:val="32"/>
          <w:u w:val="single"/>
        </w:rPr>
        <w:t xml:space="preserve">    </w:t>
      </w:r>
      <w:r>
        <w:rPr>
          <w:rFonts w:hint="eastAsia" w:ascii="仿宋" w:hAnsi="仿宋" w:eastAsia="仿宋"/>
          <w:color w:val="000000"/>
          <w:sz w:val="32"/>
          <w:szCs w:val="32"/>
        </w:rPr>
        <w:t>年</w:t>
      </w:r>
      <w:r>
        <w:rPr>
          <w:rFonts w:hint="eastAsia" w:ascii="仿宋" w:hAnsi="仿宋" w:eastAsia="仿宋"/>
          <w:color w:val="000000"/>
          <w:sz w:val="32"/>
          <w:szCs w:val="32"/>
          <w:u w:val="single"/>
        </w:rPr>
        <w:t xml:space="preserve">      </w:t>
      </w:r>
      <w:r>
        <w:rPr>
          <w:rFonts w:hint="eastAsia" w:ascii="仿宋" w:hAnsi="仿宋" w:eastAsia="仿宋"/>
          <w:color w:val="000000"/>
          <w:sz w:val="32"/>
          <w:szCs w:val="32"/>
        </w:rPr>
        <w:t>月</w:t>
      </w:r>
      <w:r>
        <w:rPr>
          <w:rFonts w:hint="eastAsia" w:ascii="仿宋" w:hAnsi="仿宋" w:eastAsia="仿宋"/>
          <w:color w:val="000000"/>
          <w:sz w:val="32"/>
          <w:szCs w:val="32"/>
          <w:u w:val="single"/>
        </w:rPr>
        <w:t xml:space="preserve">    </w:t>
      </w:r>
      <w:r>
        <w:rPr>
          <w:rFonts w:hint="eastAsia" w:ascii="仿宋" w:hAnsi="仿宋" w:eastAsia="仿宋"/>
          <w:color w:val="000000"/>
          <w:sz w:val="32"/>
          <w:szCs w:val="32"/>
        </w:rPr>
        <w:t>日</w:t>
      </w:r>
    </w:p>
    <w:p w14:paraId="4F97A29C"/>
    <w:p w14:paraId="6F8C0374">
      <w:pPr>
        <w:spacing w:line="360" w:lineRule="auto"/>
        <w:ind w:firstLine="640" w:firstLineChars="200"/>
        <w:rPr>
          <w:rFonts w:hint="eastAsia" w:ascii="仿宋" w:hAnsi="仿宋" w:eastAsia="仿宋" w:cs="仿宋"/>
          <w:kern w:val="0"/>
          <w:sz w:val="32"/>
          <w:szCs w:val="32"/>
        </w:rPr>
      </w:pPr>
    </w:p>
    <w:p w14:paraId="76A736DA">
      <w:pPr>
        <w:pStyle w:val="2"/>
        <w:numPr>
          <w:ilvl w:val="0"/>
          <w:numId w:val="0"/>
        </w:numPr>
        <w:ind w:left="425"/>
      </w:pPr>
    </w:p>
    <w:p w14:paraId="508910AC">
      <w:pPr>
        <w:spacing w:line="360" w:lineRule="auto"/>
        <w:ind w:firstLine="640" w:firstLineChars="200"/>
        <w:rPr>
          <w:rFonts w:hint="eastAsia" w:ascii="仿宋" w:hAnsi="仿宋" w:eastAsia="仿宋" w:cs="仿宋"/>
          <w:kern w:val="0"/>
          <w:sz w:val="32"/>
          <w:szCs w:val="32"/>
        </w:rPr>
      </w:pPr>
    </w:p>
    <w:sectPr>
      <w:headerReference r:id="rId9" w:type="default"/>
      <w:pgSz w:w="11906" w:h="16838"/>
      <w:pgMar w:top="1134" w:right="1134" w:bottom="1134" w:left="1134" w:header="737" w:footer="624" w:gutter="0"/>
      <w:cols w:space="720" w:num="1"/>
      <w:docGrid w:linePitch="306" w:charSpace="-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Arial Narrow">
    <w:panose1 w:val="020B0606020202030204"/>
    <w:charset w:val="00"/>
    <w:family w:val="swiss"/>
    <w:pitch w:val="default"/>
    <w:sig w:usb0="00000287" w:usb1="00000800" w:usb2="00000000" w:usb3="00000000" w:csb0="2000009F" w:csb1="DFD70000"/>
  </w:font>
  <w:font w:name="汉鼎简书宋">
    <w:altName w:val="宋体"/>
    <w:panose1 w:val="00000000000000000000"/>
    <w:charset w:val="86"/>
    <w:family w:val="modern"/>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Ari">
    <w:altName w:val="Arial"/>
    <w:panose1 w:val="00000000000000000000"/>
    <w:charset w:val="00"/>
    <w:family w:val="swiss"/>
    <w:pitch w:val="default"/>
    <w:sig w:usb0="00000000" w:usb1="00000000" w:usb2="00000000" w:usb3="00000000" w:csb0="00000001"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微软雅黑 Light">
    <w:panose1 w:val="020B0502040204020203"/>
    <w:charset w:val="86"/>
    <w:family w:val="swiss"/>
    <w:pitch w:val="default"/>
    <w:sig w:usb0="80000287" w:usb1="2ACF001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1F6166">
    <w:pPr>
      <w:pStyle w:val="27"/>
      <w:jc w:val="center"/>
    </w:pPr>
    <w:r>
      <w:fldChar w:fldCharType="begin"/>
    </w:r>
    <w:r>
      <w:instrText xml:space="preserve"> PAGE   \* MERGEFORMAT </w:instrText>
    </w:r>
    <w:r>
      <w:fldChar w:fldCharType="separate"/>
    </w:r>
    <w:r>
      <w:rPr>
        <w:lang w:val="zh-CN"/>
      </w:rPr>
      <w:t>8</w:t>
    </w:r>
    <w:r>
      <w:rPr>
        <w:lang w:val="zh-CN"/>
      </w:rPr>
      <w:fldChar w:fldCharType="end"/>
    </w:r>
  </w:p>
  <w:p w14:paraId="2641E0FF">
    <w:pPr>
      <w:pStyle w:val="2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AD5D9D">
    <w:pPr>
      <w:pStyle w:val="2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10E318">
    <w:pPr>
      <w:pStyle w:val="27"/>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437F69">
    <w:pPr>
      <w:pStyle w:val="28"/>
      <w:jc w:val="left"/>
    </w:pPr>
    <w:r>
      <w:rPr>
        <w:rFonts w:hint="eastAsia"/>
      </w:rPr>
      <w:t>永煤公司建立债券业务律师库项目招标文件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512911">
    <w:pPr>
      <w:pStyle w:val="2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7E5940">
    <w:pPr>
      <w:jc w:val="left"/>
      <w:rPr>
        <w:rFonts w:ascii="宋体"/>
        <w:sz w:val="18"/>
        <w:szCs w:val="1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B59D5B">
    <w:pPr>
      <w:pStyle w:val="28"/>
      <w:pBdr>
        <w:bottom w:val="single" w:color="auto" w:sz="4" w:space="1"/>
      </w:pBdr>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F"/>
    <w:multiLevelType w:val="multilevel"/>
    <w:tmpl w:val="0000000F"/>
    <w:lvl w:ilvl="0" w:tentative="0">
      <w:start w:val="1"/>
      <w:numFmt w:val="chineseCountingThousand"/>
      <w:pStyle w:val="2"/>
      <w:lvlText w:val="%1."/>
      <w:legacy w:legacy="1" w:legacySpace="113" w:legacyIndent="425"/>
      <w:lvlJc w:val="left"/>
      <w:pPr>
        <w:ind w:left="425" w:hanging="425"/>
      </w:pPr>
      <w:rPr>
        <w:rFonts w:cs="Times New Roman"/>
      </w:rPr>
    </w:lvl>
    <w:lvl w:ilvl="1" w:tentative="0">
      <w:start w:val="1"/>
      <w:numFmt w:val="decimal"/>
      <w:lvlText w:val="%2."/>
      <w:legacy w:legacy="1" w:legacySpace="0" w:legacyIndent="425"/>
      <w:lvlJc w:val="left"/>
      <w:pPr>
        <w:ind w:left="851" w:hanging="425"/>
      </w:pPr>
      <w:rPr>
        <w:rFonts w:cs="Times New Roman"/>
      </w:rPr>
    </w:lvl>
    <w:lvl w:ilvl="2" w:tentative="0">
      <w:start w:val="1"/>
      <w:numFmt w:val="none"/>
      <w:suff w:val="nothing"/>
      <w:lvlText w:val=""/>
      <w:lvlJc w:val="left"/>
      <w:pPr>
        <w:ind w:left="851" w:hanging="425"/>
      </w:pPr>
      <w:rPr>
        <w:rFonts w:cs="Times New Roman"/>
      </w:rPr>
    </w:lvl>
    <w:lvl w:ilvl="3" w:tentative="0">
      <w:start w:val="1"/>
      <w:numFmt w:val="lowerLetter"/>
      <w:lvlText w:val="%4)"/>
      <w:legacy w:legacy="1" w:legacySpace="0" w:legacyIndent="425"/>
      <w:lvlJc w:val="left"/>
      <w:pPr>
        <w:ind w:left="1700" w:hanging="425"/>
      </w:pPr>
      <w:rPr>
        <w:rFonts w:cs="Times New Roman"/>
      </w:rPr>
    </w:lvl>
    <w:lvl w:ilvl="4" w:tentative="0">
      <w:start w:val="1"/>
      <w:numFmt w:val="decimal"/>
      <w:lvlText w:val="(%5)"/>
      <w:legacy w:legacy="1" w:legacySpace="0" w:legacyIndent="425"/>
      <w:lvlJc w:val="left"/>
      <w:pPr>
        <w:ind w:left="2125" w:hanging="425"/>
      </w:pPr>
      <w:rPr>
        <w:rFonts w:cs="Times New Roman"/>
      </w:rPr>
    </w:lvl>
    <w:lvl w:ilvl="5" w:tentative="0">
      <w:start w:val="1"/>
      <w:numFmt w:val="lowerLetter"/>
      <w:lvlText w:val="(%6)"/>
      <w:legacy w:legacy="1" w:legacySpace="0" w:legacyIndent="425"/>
      <w:lvlJc w:val="left"/>
      <w:pPr>
        <w:ind w:left="2550" w:hanging="425"/>
      </w:pPr>
      <w:rPr>
        <w:rFonts w:cs="Times New Roman"/>
      </w:rPr>
    </w:lvl>
    <w:lvl w:ilvl="6" w:tentative="0">
      <w:start w:val="1"/>
      <w:numFmt w:val="lowerRoman"/>
      <w:lvlText w:val="(%7)"/>
      <w:legacy w:legacy="1" w:legacySpace="0" w:legacyIndent="425"/>
      <w:lvlJc w:val="left"/>
      <w:pPr>
        <w:ind w:left="2975" w:hanging="425"/>
      </w:pPr>
      <w:rPr>
        <w:rFonts w:cs="Times New Roman"/>
      </w:rPr>
    </w:lvl>
    <w:lvl w:ilvl="7" w:tentative="0">
      <w:start w:val="1"/>
      <w:numFmt w:val="lowerLetter"/>
      <w:lvlText w:val="(%8)"/>
      <w:legacy w:legacy="1" w:legacySpace="0" w:legacyIndent="425"/>
      <w:lvlJc w:val="left"/>
      <w:pPr>
        <w:ind w:left="3400" w:hanging="425"/>
      </w:pPr>
      <w:rPr>
        <w:rFonts w:cs="Times New Roman"/>
      </w:rPr>
    </w:lvl>
    <w:lvl w:ilvl="8" w:tentative="0">
      <w:start w:val="1"/>
      <w:numFmt w:val="lowerRoman"/>
      <w:lvlText w:val="(%9)"/>
      <w:legacy w:legacy="1" w:legacySpace="0" w:legacyIndent="425"/>
      <w:lvlJc w:val="left"/>
      <w:pPr>
        <w:ind w:left="3825" w:hanging="425"/>
      </w:pPr>
      <w:rPr>
        <w:rFonts w:cs="Times New Roman"/>
      </w:rPr>
    </w:lvl>
  </w:abstractNum>
  <w:abstractNum w:abstractNumId="1">
    <w:nsid w:val="6901134B"/>
    <w:multiLevelType w:val="multilevel"/>
    <w:tmpl w:val="6901134B"/>
    <w:lvl w:ilvl="0" w:tentative="0">
      <w:start w:val="1"/>
      <w:numFmt w:val="decimal"/>
      <w:pStyle w:val="5"/>
      <w:lvlText w:val="%1."/>
      <w:lvlJc w:val="left"/>
      <w:pPr>
        <w:ind w:left="360" w:hanging="36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noPunctuationKerning w:val="1"/>
  <w:characterSpacingControl w:val="compressPunctuation"/>
  <w:noLineBreaksAfter w:lang="zh-CN" w:val="([{·‘“〈《「『【〔〖（．［｛￡￥"/>
  <w:noLineBreaksBefore w:lang="zh-CN" w:val="!),.:;?]}¨·ˇˉ―‖’”…∶、。〃々〉》」』】〕〗！＂＇），．：；？］｀｜｝～￠"/>
  <w:doNotValidateAgainstSchema/>
  <w:doNotDemarcateInvalidXml/>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EwNTM5NzYwMDRjMzkwZTVkZjY2ODkwMGIxNGU0OTUifQ=="/>
  </w:docVars>
  <w:rsids>
    <w:rsidRoot w:val="00172A27"/>
    <w:rsid w:val="00015B9A"/>
    <w:rsid w:val="00017732"/>
    <w:rsid w:val="00020435"/>
    <w:rsid w:val="0002085B"/>
    <w:rsid w:val="00020BA9"/>
    <w:rsid w:val="00024D8A"/>
    <w:rsid w:val="00026A70"/>
    <w:rsid w:val="00030BD1"/>
    <w:rsid w:val="00032BF6"/>
    <w:rsid w:val="00035275"/>
    <w:rsid w:val="00036F54"/>
    <w:rsid w:val="00042959"/>
    <w:rsid w:val="00056340"/>
    <w:rsid w:val="00063510"/>
    <w:rsid w:val="00070A2A"/>
    <w:rsid w:val="00073B0F"/>
    <w:rsid w:val="0008032F"/>
    <w:rsid w:val="00085F59"/>
    <w:rsid w:val="00087CE2"/>
    <w:rsid w:val="00091DE6"/>
    <w:rsid w:val="00094083"/>
    <w:rsid w:val="00094547"/>
    <w:rsid w:val="000A0913"/>
    <w:rsid w:val="000A3757"/>
    <w:rsid w:val="000A5331"/>
    <w:rsid w:val="000A75EE"/>
    <w:rsid w:val="000A78BA"/>
    <w:rsid w:val="000B65E9"/>
    <w:rsid w:val="000C27F2"/>
    <w:rsid w:val="000C668A"/>
    <w:rsid w:val="000D3244"/>
    <w:rsid w:val="000D6016"/>
    <w:rsid w:val="000D71C5"/>
    <w:rsid w:val="000F0745"/>
    <w:rsid w:val="000F12C3"/>
    <w:rsid w:val="000F3D13"/>
    <w:rsid w:val="00103537"/>
    <w:rsid w:val="001077EB"/>
    <w:rsid w:val="00115F01"/>
    <w:rsid w:val="00124E2D"/>
    <w:rsid w:val="00125B04"/>
    <w:rsid w:val="00126E0A"/>
    <w:rsid w:val="00127D7D"/>
    <w:rsid w:val="00136642"/>
    <w:rsid w:val="001539C4"/>
    <w:rsid w:val="00162D87"/>
    <w:rsid w:val="001702CF"/>
    <w:rsid w:val="001720C8"/>
    <w:rsid w:val="00172A27"/>
    <w:rsid w:val="00184257"/>
    <w:rsid w:val="001855DA"/>
    <w:rsid w:val="00186487"/>
    <w:rsid w:val="0018770B"/>
    <w:rsid w:val="00190B58"/>
    <w:rsid w:val="001910DF"/>
    <w:rsid w:val="00191E12"/>
    <w:rsid w:val="001944EA"/>
    <w:rsid w:val="00194EC4"/>
    <w:rsid w:val="001A18F6"/>
    <w:rsid w:val="001A2195"/>
    <w:rsid w:val="001B0250"/>
    <w:rsid w:val="001B0295"/>
    <w:rsid w:val="001B3254"/>
    <w:rsid w:val="001B58C4"/>
    <w:rsid w:val="001C3A64"/>
    <w:rsid w:val="001D2132"/>
    <w:rsid w:val="001D63FE"/>
    <w:rsid w:val="001E0D0B"/>
    <w:rsid w:val="001E3A5A"/>
    <w:rsid w:val="001E5F00"/>
    <w:rsid w:val="001E7F14"/>
    <w:rsid w:val="001F0210"/>
    <w:rsid w:val="001F12D1"/>
    <w:rsid w:val="001F1C61"/>
    <w:rsid w:val="001F2AF2"/>
    <w:rsid w:val="001F6A8C"/>
    <w:rsid w:val="001F6C63"/>
    <w:rsid w:val="001F72CC"/>
    <w:rsid w:val="002055F7"/>
    <w:rsid w:val="00206C00"/>
    <w:rsid w:val="00207681"/>
    <w:rsid w:val="00211011"/>
    <w:rsid w:val="00212D62"/>
    <w:rsid w:val="00212E73"/>
    <w:rsid w:val="002147F3"/>
    <w:rsid w:val="002155FB"/>
    <w:rsid w:val="00215806"/>
    <w:rsid w:val="00215CE4"/>
    <w:rsid w:val="002162DC"/>
    <w:rsid w:val="00216AF7"/>
    <w:rsid w:val="00220165"/>
    <w:rsid w:val="00221716"/>
    <w:rsid w:val="00223D12"/>
    <w:rsid w:val="002253D4"/>
    <w:rsid w:val="0022694D"/>
    <w:rsid w:val="0023051F"/>
    <w:rsid w:val="00231217"/>
    <w:rsid w:val="0023389F"/>
    <w:rsid w:val="002345F2"/>
    <w:rsid w:val="0023574C"/>
    <w:rsid w:val="002453DA"/>
    <w:rsid w:val="0024634A"/>
    <w:rsid w:val="00246FE8"/>
    <w:rsid w:val="00247428"/>
    <w:rsid w:val="00247F48"/>
    <w:rsid w:val="00256D58"/>
    <w:rsid w:val="00265BE8"/>
    <w:rsid w:val="00266FC2"/>
    <w:rsid w:val="00272C1C"/>
    <w:rsid w:val="00274C81"/>
    <w:rsid w:val="00275EFF"/>
    <w:rsid w:val="00276A5B"/>
    <w:rsid w:val="00285315"/>
    <w:rsid w:val="00293853"/>
    <w:rsid w:val="002A097D"/>
    <w:rsid w:val="002A0B3C"/>
    <w:rsid w:val="002A1E35"/>
    <w:rsid w:val="002A2F3A"/>
    <w:rsid w:val="002A3CA9"/>
    <w:rsid w:val="002A41AB"/>
    <w:rsid w:val="002A4C9B"/>
    <w:rsid w:val="002A4FC9"/>
    <w:rsid w:val="002A56EF"/>
    <w:rsid w:val="002B2B4D"/>
    <w:rsid w:val="002B5C20"/>
    <w:rsid w:val="002C6FB5"/>
    <w:rsid w:val="002D0341"/>
    <w:rsid w:val="002E2180"/>
    <w:rsid w:val="002E5B05"/>
    <w:rsid w:val="002E6E4D"/>
    <w:rsid w:val="002F492A"/>
    <w:rsid w:val="002F7B66"/>
    <w:rsid w:val="00300D1D"/>
    <w:rsid w:val="00301FC3"/>
    <w:rsid w:val="003035E6"/>
    <w:rsid w:val="00307E2C"/>
    <w:rsid w:val="003109DD"/>
    <w:rsid w:val="00311F82"/>
    <w:rsid w:val="0031261D"/>
    <w:rsid w:val="003231CD"/>
    <w:rsid w:val="003265FE"/>
    <w:rsid w:val="003266C7"/>
    <w:rsid w:val="0033007F"/>
    <w:rsid w:val="00330E23"/>
    <w:rsid w:val="00333F89"/>
    <w:rsid w:val="0034580F"/>
    <w:rsid w:val="003501F3"/>
    <w:rsid w:val="00352FE5"/>
    <w:rsid w:val="00352FF4"/>
    <w:rsid w:val="00353893"/>
    <w:rsid w:val="0035438A"/>
    <w:rsid w:val="00354C7D"/>
    <w:rsid w:val="00355D9B"/>
    <w:rsid w:val="00357A9A"/>
    <w:rsid w:val="0036179D"/>
    <w:rsid w:val="00361EE8"/>
    <w:rsid w:val="0036346F"/>
    <w:rsid w:val="00363F73"/>
    <w:rsid w:val="003645BC"/>
    <w:rsid w:val="00366BAA"/>
    <w:rsid w:val="00370B14"/>
    <w:rsid w:val="00371C04"/>
    <w:rsid w:val="00373158"/>
    <w:rsid w:val="00376D7D"/>
    <w:rsid w:val="00377237"/>
    <w:rsid w:val="00381AC1"/>
    <w:rsid w:val="00383F1E"/>
    <w:rsid w:val="00385454"/>
    <w:rsid w:val="003927FA"/>
    <w:rsid w:val="003A44BD"/>
    <w:rsid w:val="003A4DCC"/>
    <w:rsid w:val="003A650C"/>
    <w:rsid w:val="003A7E42"/>
    <w:rsid w:val="003B5812"/>
    <w:rsid w:val="003B5D34"/>
    <w:rsid w:val="003B5FBA"/>
    <w:rsid w:val="003D0912"/>
    <w:rsid w:val="003D2B63"/>
    <w:rsid w:val="003D7CF6"/>
    <w:rsid w:val="003E0D9D"/>
    <w:rsid w:val="003E1E15"/>
    <w:rsid w:val="003E4321"/>
    <w:rsid w:val="003F050B"/>
    <w:rsid w:val="003F522C"/>
    <w:rsid w:val="004000BC"/>
    <w:rsid w:val="0040368D"/>
    <w:rsid w:val="00405475"/>
    <w:rsid w:val="00410B21"/>
    <w:rsid w:val="004136BB"/>
    <w:rsid w:val="004136CB"/>
    <w:rsid w:val="00417D44"/>
    <w:rsid w:val="004277A5"/>
    <w:rsid w:val="00430406"/>
    <w:rsid w:val="0043049A"/>
    <w:rsid w:val="004352BF"/>
    <w:rsid w:val="00436A3F"/>
    <w:rsid w:val="00442E65"/>
    <w:rsid w:val="00444120"/>
    <w:rsid w:val="00444A0D"/>
    <w:rsid w:val="00445624"/>
    <w:rsid w:val="00445828"/>
    <w:rsid w:val="00446647"/>
    <w:rsid w:val="00450F5D"/>
    <w:rsid w:val="004536E0"/>
    <w:rsid w:val="00455A21"/>
    <w:rsid w:val="00463209"/>
    <w:rsid w:val="004640C9"/>
    <w:rsid w:val="00466538"/>
    <w:rsid w:val="00466D8A"/>
    <w:rsid w:val="004676F8"/>
    <w:rsid w:val="00471204"/>
    <w:rsid w:val="00474CEB"/>
    <w:rsid w:val="004806A7"/>
    <w:rsid w:val="004822D4"/>
    <w:rsid w:val="00482AD1"/>
    <w:rsid w:val="004830DB"/>
    <w:rsid w:val="0048449B"/>
    <w:rsid w:val="004851B5"/>
    <w:rsid w:val="0048733E"/>
    <w:rsid w:val="00487DCF"/>
    <w:rsid w:val="00491E6B"/>
    <w:rsid w:val="00493F74"/>
    <w:rsid w:val="004954AA"/>
    <w:rsid w:val="004A2B11"/>
    <w:rsid w:val="004A41D5"/>
    <w:rsid w:val="004A5701"/>
    <w:rsid w:val="004A6428"/>
    <w:rsid w:val="004B75EE"/>
    <w:rsid w:val="004C0957"/>
    <w:rsid w:val="004C3323"/>
    <w:rsid w:val="004C7B09"/>
    <w:rsid w:val="004D09A6"/>
    <w:rsid w:val="004D1DEB"/>
    <w:rsid w:val="004D2FA5"/>
    <w:rsid w:val="004D6FBA"/>
    <w:rsid w:val="004E01F0"/>
    <w:rsid w:val="004E4707"/>
    <w:rsid w:val="004E5A22"/>
    <w:rsid w:val="004E6465"/>
    <w:rsid w:val="004E65A2"/>
    <w:rsid w:val="004F5812"/>
    <w:rsid w:val="0051296A"/>
    <w:rsid w:val="00514461"/>
    <w:rsid w:val="00515AAF"/>
    <w:rsid w:val="00522057"/>
    <w:rsid w:val="005247A2"/>
    <w:rsid w:val="0053593A"/>
    <w:rsid w:val="005359D3"/>
    <w:rsid w:val="00544567"/>
    <w:rsid w:val="00545E34"/>
    <w:rsid w:val="00546D81"/>
    <w:rsid w:val="00556ABB"/>
    <w:rsid w:val="0055721F"/>
    <w:rsid w:val="005577FB"/>
    <w:rsid w:val="005605E5"/>
    <w:rsid w:val="00563170"/>
    <w:rsid w:val="00564EC7"/>
    <w:rsid w:val="00571B99"/>
    <w:rsid w:val="00571D4B"/>
    <w:rsid w:val="00577E93"/>
    <w:rsid w:val="00583F56"/>
    <w:rsid w:val="00587005"/>
    <w:rsid w:val="005B1031"/>
    <w:rsid w:val="005B1AF8"/>
    <w:rsid w:val="005B268D"/>
    <w:rsid w:val="005B26D5"/>
    <w:rsid w:val="005B2DCD"/>
    <w:rsid w:val="005B39F3"/>
    <w:rsid w:val="005B4EA0"/>
    <w:rsid w:val="005C31F6"/>
    <w:rsid w:val="005C4BA2"/>
    <w:rsid w:val="005D015C"/>
    <w:rsid w:val="005D3355"/>
    <w:rsid w:val="005E60E1"/>
    <w:rsid w:val="005E644E"/>
    <w:rsid w:val="00605627"/>
    <w:rsid w:val="006056CF"/>
    <w:rsid w:val="00610B25"/>
    <w:rsid w:val="0061189E"/>
    <w:rsid w:val="0061794C"/>
    <w:rsid w:val="006212ED"/>
    <w:rsid w:val="00622E0B"/>
    <w:rsid w:val="006303CA"/>
    <w:rsid w:val="00630F66"/>
    <w:rsid w:val="0063480D"/>
    <w:rsid w:val="006359E9"/>
    <w:rsid w:val="00635AC3"/>
    <w:rsid w:val="00642916"/>
    <w:rsid w:val="006454B5"/>
    <w:rsid w:val="00645A7A"/>
    <w:rsid w:val="006462AC"/>
    <w:rsid w:val="00646686"/>
    <w:rsid w:val="00652DA8"/>
    <w:rsid w:val="00657947"/>
    <w:rsid w:val="00660CD6"/>
    <w:rsid w:val="00664C14"/>
    <w:rsid w:val="00665565"/>
    <w:rsid w:val="006655F4"/>
    <w:rsid w:val="00667EBE"/>
    <w:rsid w:val="00672477"/>
    <w:rsid w:val="00673DEA"/>
    <w:rsid w:val="00673F30"/>
    <w:rsid w:val="006754A4"/>
    <w:rsid w:val="006765B5"/>
    <w:rsid w:val="00681FE2"/>
    <w:rsid w:val="00685289"/>
    <w:rsid w:val="00691F3E"/>
    <w:rsid w:val="0069318B"/>
    <w:rsid w:val="006934C2"/>
    <w:rsid w:val="006978E1"/>
    <w:rsid w:val="006A08D6"/>
    <w:rsid w:val="006A1746"/>
    <w:rsid w:val="006B53F4"/>
    <w:rsid w:val="006B5648"/>
    <w:rsid w:val="006C190A"/>
    <w:rsid w:val="006C4858"/>
    <w:rsid w:val="006C7A70"/>
    <w:rsid w:val="006C7A80"/>
    <w:rsid w:val="006D062B"/>
    <w:rsid w:val="006D30E3"/>
    <w:rsid w:val="006D3123"/>
    <w:rsid w:val="006D616A"/>
    <w:rsid w:val="006D61D1"/>
    <w:rsid w:val="006E1A12"/>
    <w:rsid w:val="006F0ECF"/>
    <w:rsid w:val="006F1BAF"/>
    <w:rsid w:val="007001C9"/>
    <w:rsid w:val="00703C2D"/>
    <w:rsid w:val="0070672F"/>
    <w:rsid w:val="007119C8"/>
    <w:rsid w:val="007155BB"/>
    <w:rsid w:val="00721229"/>
    <w:rsid w:val="00727544"/>
    <w:rsid w:val="00727CD1"/>
    <w:rsid w:val="00730F9B"/>
    <w:rsid w:val="007326CF"/>
    <w:rsid w:val="00733FC9"/>
    <w:rsid w:val="007353E8"/>
    <w:rsid w:val="0073597F"/>
    <w:rsid w:val="007379AC"/>
    <w:rsid w:val="007414EC"/>
    <w:rsid w:val="00743672"/>
    <w:rsid w:val="00746CE9"/>
    <w:rsid w:val="00751B73"/>
    <w:rsid w:val="00752671"/>
    <w:rsid w:val="00752729"/>
    <w:rsid w:val="0075317E"/>
    <w:rsid w:val="00755EC9"/>
    <w:rsid w:val="0076649A"/>
    <w:rsid w:val="00772ACE"/>
    <w:rsid w:val="00775DEF"/>
    <w:rsid w:val="00786118"/>
    <w:rsid w:val="00795EF0"/>
    <w:rsid w:val="0079694B"/>
    <w:rsid w:val="007A1896"/>
    <w:rsid w:val="007A49FB"/>
    <w:rsid w:val="007A7B2B"/>
    <w:rsid w:val="007B35C1"/>
    <w:rsid w:val="007B5C2D"/>
    <w:rsid w:val="007C1BF4"/>
    <w:rsid w:val="007C4518"/>
    <w:rsid w:val="007D04EA"/>
    <w:rsid w:val="007D39CB"/>
    <w:rsid w:val="007D4F5E"/>
    <w:rsid w:val="007D6B4C"/>
    <w:rsid w:val="007E0E46"/>
    <w:rsid w:val="007E0ED3"/>
    <w:rsid w:val="007E21B7"/>
    <w:rsid w:val="007E21D8"/>
    <w:rsid w:val="007E594F"/>
    <w:rsid w:val="007E7EFE"/>
    <w:rsid w:val="007F31C7"/>
    <w:rsid w:val="007F7D88"/>
    <w:rsid w:val="008000F9"/>
    <w:rsid w:val="00800ABA"/>
    <w:rsid w:val="00805AAF"/>
    <w:rsid w:val="0081126D"/>
    <w:rsid w:val="00813D19"/>
    <w:rsid w:val="00815AB4"/>
    <w:rsid w:val="008162BE"/>
    <w:rsid w:val="00822024"/>
    <w:rsid w:val="00827A9F"/>
    <w:rsid w:val="00834ADB"/>
    <w:rsid w:val="00836FF7"/>
    <w:rsid w:val="00842FED"/>
    <w:rsid w:val="008458A0"/>
    <w:rsid w:val="00850CBE"/>
    <w:rsid w:val="0085149C"/>
    <w:rsid w:val="0085263B"/>
    <w:rsid w:val="00860237"/>
    <w:rsid w:val="008619E9"/>
    <w:rsid w:val="00861F7B"/>
    <w:rsid w:val="00862AA4"/>
    <w:rsid w:val="00875D7C"/>
    <w:rsid w:val="00883013"/>
    <w:rsid w:val="008849B3"/>
    <w:rsid w:val="00891164"/>
    <w:rsid w:val="00894259"/>
    <w:rsid w:val="00894770"/>
    <w:rsid w:val="00894897"/>
    <w:rsid w:val="008956BA"/>
    <w:rsid w:val="0089610D"/>
    <w:rsid w:val="00896FD5"/>
    <w:rsid w:val="00897EC1"/>
    <w:rsid w:val="008A2AFF"/>
    <w:rsid w:val="008A3EE2"/>
    <w:rsid w:val="008A5479"/>
    <w:rsid w:val="008A77AA"/>
    <w:rsid w:val="008B07F2"/>
    <w:rsid w:val="008B5F07"/>
    <w:rsid w:val="008B6EE6"/>
    <w:rsid w:val="008B7D1D"/>
    <w:rsid w:val="008C001C"/>
    <w:rsid w:val="008C11CD"/>
    <w:rsid w:val="008D2ECB"/>
    <w:rsid w:val="008E5DD0"/>
    <w:rsid w:val="008F3B37"/>
    <w:rsid w:val="008F64CA"/>
    <w:rsid w:val="008F6CCA"/>
    <w:rsid w:val="008F743B"/>
    <w:rsid w:val="00900398"/>
    <w:rsid w:val="00901ED9"/>
    <w:rsid w:val="009040C2"/>
    <w:rsid w:val="00904703"/>
    <w:rsid w:val="009050CF"/>
    <w:rsid w:val="009104A2"/>
    <w:rsid w:val="00914EA3"/>
    <w:rsid w:val="00915A24"/>
    <w:rsid w:val="00916541"/>
    <w:rsid w:val="00917915"/>
    <w:rsid w:val="009203BB"/>
    <w:rsid w:val="009225EF"/>
    <w:rsid w:val="009241D1"/>
    <w:rsid w:val="009246E6"/>
    <w:rsid w:val="009266E8"/>
    <w:rsid w:val="0092677A"/>
    <w:rsid w:val="00936667"/>
    <w:rsid w:val="00941DB2"/>
    <w:rsid w:val="00945C67"/>
    <w:rsid w:val="009551A4"/>
    <w:rsid w:val="0095596A"/>
    <w:rsid w:val="009561DA"/>
    <w:rsid w:val="009670A3"/>
    <w:rsid w:val="00967C70"/>
    <w:rsid w:val="00972ED6"/>
    <w:rsid w:val="00977F6A"/>
    <w:rsid w:val="009831A4"/>
    <w:rsid w:val="009847D1"/>
    <w:rsid w:val="00990052"/>
    <w:rsid w:val="00992C28"/>
    <w:rsid w:val="00994E07"/>
    <w:rsid w:val="009A077F"/>
    <w:rsid w:val="009A0F55"/>
    <w:rsid w:val="009A37EF"/>
    <w:rsid w:val="009A64F6"/>
    <w:rsid w:val="009B50C5"/>
    <w:rsid w:val="009B7DC2"/>
    <w:rsid w:val="009C0AFE"/>
    <w:rsid w:val="009C1307"/>
    <w:rsid w:val="009C3EBB"/>
    <w:rsid w:val="009C57A2"/>
    <w:rsid w:val="009C6A1A"/>
    <w:rsid w:val="009D2DE5"/>
    <w:rsid w:val="009D7E99"/>
    <w:rsid w:val="009E5F9C"/>
    <w:rsid w:val="00A06C1C"/>
    <w:rsid w:val="00A10134"/>
    <w:rsid w:val="00A134C1"/>
    <w:rsid w:val="00A15BA4"/>
    <w:rsid w:val="00A16A59"/>
    <w:rsid w:val="00A17B0B"/>
    <w:rsid w:val="00A25889"/>
    <w:rsid w:val="00A27AEA"/>
    <w:rsid w:val="00A27D03"/>
    <w:rsid w:val="00A30657"/>
    <w:rsid w:val="00A310A8"/>
    <w:rsid w:val="00A31429"/>
    <w:rsid w:val="00A34F62"/>
    <w:rsid w:val="00A35784"/>
    <w:rsid w:val="00A36BCC"/>
    <w:rsid w:val="00A44F4D"/>
    <w:rsid w:val="00A45A82"/>
    <w:rsid w:val="00A54EC3"/>
    <w:rsid w:val="00A577D5"/>
    <w:rsid w:val="00A603B9"/>
    <w:rsid w:val="00A61C1C"/>
    <w:rsid w:val="00A62BBD"/>
    <w:rsid w:val="00A73C6A"/>
    <w:rsid w:val="00A8161C"/>
    <w:rsid w:val="00A8247B"/>
    <w:rsid w:val="00A86D93"/>
    <w:rsid w:val="00A909F3"/>
    <w:rsid w:val="00A91AC9"/>
    <w:rsid w:val="00A91EE1"/>
    <w:rsid w:val="00A927F9"/>
    <w:rsid w:val="00A929D9"/>
    <w:rsid w:val="00A93925"/>
    <w:rsid w:val="00A94639"/>
    <w:rsid w:val="00A94D5A"/>
    <w:rsid w:val="00A95476"/>
    <w:rsid w:val="00AA07DB"/>
    <w:rsid w:val="00AA5EBD"/>
    <w:rsid w:val="00AA65FB"/>
    <w:rsid w:val="00AA66A3"/>
    <w:rsid w:val="00AB06FA"/>
    <w:rsid w:val="00AB4C5B"/>
    <w:rsid w:val="00AB7CEF"/>
    <w:rsid w:val="00AC1796"/>
    <w:rsid w:val="00AC39AA"/>
    <w:rsid w:val="00AC472D"/>
    <w:rsid w:val="00AC4994"/>
    <w:rsid w:val="00AD0426"/>
    <w:rsid w:val="00AD14AC"/>
    <w:rsid w:val="00AD390A"/>
    <w:rsid w:val="00AD502D"/>
    <w:rsid w:val="00AD54AB"/>
    <w:rsid w:val="00AD5F8C"/>
    <w:rsid w:val="00AD7D7A"/>
    <w:rsid w:val="00AE06D4"/>
    <w:rsid w:val="00AE52C8"/>
    <w:rsid w:val="00AE5F40"/>
    <w:rsid w:val="00AF1ECC"/>
    <w:rsid w:val="00AF3EE0"/>
    <w:rsid w:val="00AF5B95"/>
    <w:rsid w:val="00AF6B3E"/>
    <w:rsid w:val="00B00F46"/>
    <w:rsid w:val="00B01E54"/>
    <w:rsid w:val="00B0276B"/>
    <w:rsid w:val="00B05C07"/>
    <w:rsid w:val="00B07E88"/>
    <w:rsid w:val="00B1038A"/>
    <w:rsid w:val="00B10498"/>
    <w:rsid w:val="00B10CF9"/>
    <w:rsid w:val="00B11919"/>
    <w:rsid w:val="00B141B8"/>
    <w:rsid w:val="00B15C48"/>
    <w:rsid w:val="00B1633E"/>
    <w:rsid w:val="00B25BCB"/>
    <w:rsid w:val="00B2641E"/>
    <w:rsid w:val="00B26A06"/>
    <w:rsid w:val="00B33228"/>
    <w:rsid w:val="00B33524"/>
    <w:rsid w:val="00B36752"/>
    <w:rsid w:val="00B37C57"/>
    <w:rsid w:val="00B42D26"/>
    <w:rsid w:val="00B44423"/>
    <w:rsid w:val="00B46289"/>
    <w:rsid w:val="00B51CE3"/>
    <w:rsid w:val="00B53D64"/>
    <w:rsid w:val="00B646E0"/>
    <w:rsid w:val="00B65CAA"/>
    <w:rsid w:val="00B662C2"/>
    <w:rsid w:val="00B7069F"/>
    <w:rsid w:val="00B72608"/>
    <w:rsid w:val="00B80127"/>
    <w:rsid w:val="00B81303"/>
    <w:rsid w:val="00B8176F"/>
    <w:rsid w:val="00B81CC4"/>
    <w:rsid w:val="00B82925"/>
    <w:rsid w:val="00B84AAF"/>
    <w:rsid w:val="00B86806"/>
    <w:rsid w:val="00B90939"/>
    <w:rsid w:val="00B944FE"/>
    <w:rsid w:val="00BA288E"/>
    <w:rsid w:val="00BB792E"/>
    <w:rsid w:val="00BC2EA1"/>
    <w:rsid w:val="00BC5EB3"/>
    <w:rsid w:val="00BD418B"/>
    <w:rsid w:val="00BE4F07"/>
    <w:rsid w:val="00BE5881"/>
    <w:rsid w:val="00BF063C"/>
    <w:rsid w:val="00C01BCE"/>
    <w:rsid w:val="00C03C83"/>
    <w:rsid w:val="00C05DCD"/>
    <w:rsid w:val="00C11D33"/>
    <w:rsid w:val="00C12DAA"/>
    <w:rsid w:val="00C14D94"/>
    <w:rsid w:val="00C16426"/>
    <w:rsid w:val="00C31CEC"/>
    <w:rsid w:val="00C353C1"/>
    <w:rsid w:val="00C4262B"/>
    <w:rsid w:val="00C436B1"/>
    <w:rsid w:val="00C46516"/>
    <w:rsid w:val="00C473BA"/>
    <w:rsid w:val="00C47B5C"/>
    <w:rsid w:val="00C50FAF"/>
    <w:rsid w:val="00C54B32"/>
    <w:rsid w:val="00C62338"/>
    <w:rsid w:val="00C638D3"/>
    <w:rsid w:val="00C639F5"/>
    <w:rsid w:val="00C6515F"/>
    <w:rsid w:val="00C722FB"/>
    <w:rsid w:val="00C73302"/>
    <w:rsid w:val="00C76002"/>
    <w:rsid w:val="00C77DD3"/>
    <w:rsid w:val="00C81135"/>
    <w:rsid w:val="00C81E0E"/>
    <w:rsid w:val="00C82C3B"/>
    <w:rsid w:val="00C9071A"/>
    <w:rsid w:val="00C9302D"/>
    <w:rsid w:val="00C93485"/>
    <w:rsid w:val="00C93C39"/>
    <w:rsid w:val="00CA2D35"/>
    <w:rsid w:val="00CA3F95"/>
    <w:rsid w:val="00CA6529"/>
    <w:rsid w:val="00CB4DC0"/>
    <w:rsid w:val="00CC4F8A"/>
    <w:rsid w:val="00CD38D9"/>
    <w:rsid w:val="00CD3D85"/>
    <w:rsid w:val="00CE0150"/>
    <w:rsid w:val="00CE06C7"/>
    <w:rsid w:val="00CE1786"/>
    <w:rsid w:val="00CE46F7"/>
    <w:rsid w:val="00CE5AD1"/>
    <w:rsid w:val="00CE6210"/>
    <w:rsid w:val="00CE6E66"/>
    <w:rsid w:val="00CE7024"/>
    <w:rsid w:val="00CE7D0D"/>
    <w:rsid w:val="00CF502D"/>
    <w:rsid w:val="00CF5E04"/>
    <w:rsid w:val="00CF7E3D"/>
    <w:rsid w:val="00D0225C"/>
    <w:rsid w:val="00D0255B"/>
    <w:rsid w:val="00D04BCD"/>
    <w:rsid w:val="00D0697D"/>
    <w:rsid w:val="00D118DB"/>
    <w:rsid w:val="00D12AD9"/>
    <w:rsid w:val="00D165EB"/>
    <w:rsid w:val="00D2010B"/>
    <w:rsid w:val="00D20C1A"/>
    <w:rsid w:val="00D21793"/>
    <w:rsid w:val="00D21BA1"/>
    <w:rsid w:val="00D222E2"/>
    <w:rsid w:val="00D2357D"/>
    <w:rsid w:val="00D23677"/>
    <w:rsid w:val="00D300F8"/>
    <w:rsid w:val="00D30DFD"/>
    <w:rsid w:val="00D317FF"/>
    <w:rsid w:val="00D40700"/>
    <w:rsid w:val="00D42FED"/>
    <w:rsid w:val="00D44989"/>
    <w:rsid w:val="00D45F64"/>
    <w:rsid w:val="00D46A22"/>
    <w:rsid w:val="00D46AE0"/>
    <w:rsid w:val="00D53449"/>
    <w:rsid w:val="00D6020B"/>
    <w:rsid w:val="00D60FA9"/>
    <w:rsid w:val="00D6229C"/>
    <w:rsid w:val="00D67546"/>
    <w:rsid w:val="00D70E29"/>
    <w:rsid w:val="00D74358"/>
    <w:rsid w:val="00D771A5"/>
    <w:rsid w:val="00D81497"/>
    <w:rsid w:val="00D84F51"/>
    <w:rsid w:val="00D86591"/>
    <w:rsid w:val="00D93286"/>
    <w:rsid w:val="00DB18A6"/>
    <w:rsid w:val="00DB2981"/>
    <w:rsid w:val="00DB32DD"/>
    <w:rsid w:val="00DB335E"/>
    <w:rsid w:val="00DB48AA"/>
    <w:rsid w:val="00DB6D64"/>
    <w:rsid w:val="00DC5EB9"/>
    <w:rsid w:val="00DD1581"/>
    <w:rsid w:val="00DD2A7B"/>
    <w:rsid w:val="00DD415E"/>
    <w:rsid w:val="00DD4B0E"/>
    <w:rsid w:val="00DD52F5"/>
    <w:rsid w:val="00DD5861"/>
    <w:rsid w:val="00DE7717"/>
    <w:rsid w:val="00DF0381"/>
    <w:rsid w:val="00DF1A3C"/>
    <w:rsid w:val="00DF201E"/>
    <w:rsid w:val="00E01DB8"/>
    <w:rsid w:val="00E0411A"/>
    <w:rsid w:val="00E05188"/>
    <w:rsid w:val="00E072D6"/>
    <w:rsid w:val="00E13029"/>
    <w:rsid w:val="00E17ED2"/>
    <w:rsid w:val="00E23A00"/>
    <w:rsid w:val="00E25C16"/>
    <w:rsid w:val="00E25FFF"/>
    <w:rsid w:val="00E2711D"/>
    <w:rsid w:val="00E31506"/>
    <w:rsid w:val="00E3178F"/>
    <w:rsid w:val="00E3280C"/>
    <w:rsid w:val="00E35A46"/>
    <w:rsid w:val="00E35E11"/>
    <w:rsid w:val="00E374B7"/>
    <w:rsid w:val="00E37766"/>
    <w:rsid w:val="00E43234"/>
    <w:rsid w:val="00E4635C"/>
    <w:rsid w:val="00E47736"/>
    <w:rsid w:val="00E4790B"/>
    <w:rsid w:val="00E501C9"/>
    <w:rsid w:val="00E506CA"/>
    <w:rsid w:val="00E559CE"/>
    <w:rsid w:val="00E60189"/>
    <w:rsid w:val="00E619BB"/>
    <w:rsid w:val="00E62FD0"/>
    <w:rsid w:val="00E64C82"/>
    <w:rsid w:val="00E64EA4"/>
    <w:rsid w:val="00E6569A"/>
    <w:rsid w:val="00E668DA"/>
    <w:rsid w:val="00E71B3C"/>
    <w:rsid w:val="00E721D9"/>
    <w:rsid w:val="00E725BD"/>
    <w:rsid w:val="00E72FCA"/>
    <w:rsid w:val="00E73D7D"/>
    <w:rsid w:val="00E773F5"/>
    <w:rsid w:val="00E8291B"/>
    <w:rsid w:val="00E82CB9"/>
    <w:rsid w:val="00E8533D"/>
    <w:rsid w:val="00E856C5"/>
    <w:rsid w:val="00E85905"/>
    <w:rsid w:val="00E91237"/>
    <w:rsid w:val="00E933EE"/>
    <w:rsid w:val="00E9770D"/>
    <w:rsid w:val="00EA269D"/>
    <w:rsid w:val="00EA2DFC"/>
    <w:rsid w:val="00EA57AB"/>
    <w:rsid w:val="00EA68AC"/>
    <w:rsid w:val="00EA79D1"/>
    <w:rsid w:val="00EA7E60"/>
    <w:rsid w:val="00EB043F"/>
    <w:rsid w:val="00EB43D8"/>
    <w:rsid w:val="00EB44E4"/>
    <w:rsid w:val="00EC1D0E"/>
    <w:rsid w:val="00EC6097"/>
    <w:rsid w:val="00EC6346"/>
    <w:rsid w:val="00EC63A2"/>
    <w:rsid w:val="00EC6DD4"/>
    <w:rsid w:val="00ED31DA"/>
    <w:rsid w:val="00EE21EB"/>
    <w:rsid w:val="00EE3A0B"/>
    <w:rsid w:val="00EE4D24"/>
    <w:rsid w:val="00EE4E04"/>
    <w:rsid w:val="00EE57FA"/>
    <w:rsid w:val="00EE581A"/>
    <w:rsid w:val="00EE6552"/>
    <w:rsid w:val="00EE6599"/>
    <w:rsid w:val="00EF0AB8"/>
    <w:rsid w:val="00F03DB5"/>
    <w:rsid w:val="00F1156A"/>
    <w:rsid w:val="00F11624"/>
    <w:rsid w:val="00F20C0B"/>
    <w:rsid w:val="00F2184C"/>
    <w:rsid w:val="00F21989"/>
    <w:rsid w:val="00F2365D"/>
    <w:rsid w:val="00F31F50"/>
    <w:rsid w:val="00F32CE4"/>
    <w:rsid w:val="00F36AD5"/>
    <w:rsid w:val="00F45E26"/>
    <w:rsid w:val="00F47031"/>
    <w:rsid w:val="00F5102F"/>
    <w:rsid w:val="00F52160"/>
    <w:rsid w:val="00F67A66"/>
    <w:rsid w:val="00F703E8"/>
    <w:rsid w:val="00F71D3E"/>
    <w:rsid w:val="00F73FBF"/>
    <w:rsid w:val="00F7554E"/>
    <w:rsid w:val="00F822F2"/>
    <w:rsid w:val="00F83D46"/>
    <w:rsid w:val="00F876F7"/>
    <w:rsid w:val="00F87F2F"/>
    <w:rsid w:val="00F95395"/>
    <w:rsid w:val="00F95E75"/>
    <w:rsid w:val="00FA0DC1"/>
    <w:rsid w:val="00FA1C1A"/>
    <w:rsid w:val="00FA4F7D"/>
    <w:rsid w:val="00FA6409"/>
    <w:rsid w:val="00FA6628"/>
    <w:rsid w:val="00FB4A55"/>
    <w:rsid w:val="00FC2443"/>
    <w:rsid w:val="00FC51D6"/>
    <w:rsid w:val="00FC74A5"/>
    <w:rsid w:val="00FD39EF"/>
    <w:rsid w:val="00FD7840"/>
    <w:rsid w:val="00FE0EAC"/>
    <w:rsid w:val="00FE10E6"/>
    <w:rsid w:val="00FE3313"/>
    <w:rsid w:val="00FE414D"/>
    <w:rsid w:val="00FE466F"/>
    <w:rsid w:val="00FF0796"/>
    <w:rsid w:val="00FF4848"/>
    <w:rsid w:val="00FF5611"/>
    <w:rsid w:val="00FF7456"/>
    <w:rsid w:val="00FF78C6"/>
    <w:rsid w:val="01285A37"/>
    <w:rsid w:val="0133647B"/>
    <w:rsid w:val="0171293B"/>
    <w:rsid w:val="017B2F76"/>
    <w:rsid w:val="01A05CEF"/>
    <w:rsid w:val="01A3411E"/>
    <w:rsid w:val="01C27737"/>
    <w:rsid w:val="01C551EB"/>
    <w:rsid w:val="01C55F90"/>
    <w:rsid w:val="01C97DA3"/>
    <w:rsid w:val="02052B74"/>
    <w:rsid w:val="0206797D"/>
    <w:rsid w:val="020825D6"/>
    <w:rsid w:val="020A4C61"/>
    <w:rsid w:val="02555A1A"/>
    <w:rsid w:val="02892465"/>
    <w:rsid w:val="029F577C"/>
    <w:rsid w:val="02D34D76"/>
    <w:rsid w:val="02E21EC5"/>
    <w:rsid w:val="02E6325B"/>
    <w:rsid w:val="02EA58FB"/>
    <w:rsid w:val="02ED27BB"/>
    <w:rsid w:val="02FC0D31"/>
    <w:rsid w:val="03215E45"/>
    <w:rsid w:val="032A33BF"/>
    <w:rsid w:val="033D0092"/>
    <w:rsid w:val="03473887"/>
    <w:rsid w:val="0351679D"/>
    <w:rsid w:val="036546F0"/>
    <w:rsid w:val="03794585"/>
    <w:rsid w:val="03842147"/>
    <w:rsid w:val="03A207F9"/>
    <w:rsid w:val="03C206F9"/>
    <w:rsid w:val="03EA361A"/>
    <w:rsid w:val="047E3040"/>
    <w:rsid w:val="04A06C3B"/>
    <w:rsid w:val="04BA024D"/>
    <w:rsid w:val="04D44E58"/>
    <w:rsid w:val="052B5569"/>
    <w:rsid w:val="0546211A"/>
    <w:rsid w:val="05703B16"/>
    <w:rsid w:val="05A72112"/>
    <w:rsid w:val="05AA4481"/>
    <w:rsid w:val="05CA7211"/>
    <w:rsid w:val="065B2E60"/>
    <w:rsid w:val="068716AB"/>
    <w:rsid w:val="068C119A"/>
    <w:rsid w:val="06AF00AD"/>
    <w:rsid w:val="06B667F5"/>
    <w:rsid w:val="07127FB2"/>
    <w:rsid w:val="079017BD"/>
    <w:rsid w:val="07943A43"/>
    <w:rsid w:val="07A8410B"/>
    <w:rsid w:val="07C02641"/>
    <w:rsid w:val="07E7134A"/>
    <w:rsid w:val="07EA41A8"/>
    <w:rsid w:val="08075874"/>
    <w:rsid w:val="0818628D"/>
    <w:rsid w:val="08E154EC"/>
    <w:rsid w:val="091E1D93"/>
    <w:rsid w:val="093C3120"/>
    <w:rsid w:val="096D1295"/>
    <w:rsid w:val="09A536E1"/>
    <w:rsid w:val="0A382E89"/>
    <w:rsid w:val="0A9D0972"/>
    <w:rsid w:val="0AA8029F"/>
    <w:rsid w:val="0ACE7F19"/>
    <w:rsid w:val="0AE31B58"/>
    <w:rsid w:val="0AE43372"/>
    <w:rsid w:val="0B274821"/>
    <w:rsid w:val="0B326EA7"/>
    <w:rsid w:val="0B587E8A"/>
    <w:rsid w:val="0B7328C0"/>
    <w:rsid w:val="0BC56105"/>
    <w:rsid w:val="0BD34197"/>
    <w:rsid w:val="0BDC754F"/>
    <w:rsid w:val="0C032714"/>
    <w:rsid w:val="0C2439A3"/>
    <w:rsid w:val="0C636F26"/>
    <w:rsid w:val="0C7A6819"/>
    <w:rsid w:val="0C88507F"/>
    <w:rsid w:val="0CD17F35"/>
    <w:rsid w:val="0CED3829"/>
    <w:rsid w:val="0D0C0F58"/>
    <w:rsid w:val="0D221A83"/>
    <w:rsid w:val="0D475CB3"/>
    <w:rsid w:val="0D7C0DB9"/>
    <w:rsid w:val="0DE36303"/>
    <w:rsid w:val="0E0F0EFA"/>
    <w:rsid w:val="0E291A3E"/>
    <w:rsid w:val="0E4367E7"/>
    <w:rsid w:val="0E4F40FF"/>
    <w:rsid w:val="0E5A7713"/>
    <w:rsid w:val="0E752054"/>
    <w:rsid w:val="0E8E7A12"/>
    <w:rsid w:val="0EB66698"/>
    <w:rsid w:val="0F09364A"/>
    <w:rsid w:val="0F28720D"/>
    <w:rsid w:val="0F3C2287"/>
    <w:rsid w:val="0F761EFA"/>
    <w:rsid w:val="0FBA7B4F"/>
    <w:rsid w:val="0FBE09EC"/>
    <w:rsid w:val="0FD41583"/>
    <w:rsid w:val="0FE140A6"/>
    <w:rsid w:val="0FF771A0"/>
    <w:rsid w:val="101004BE"/>
    <w:rsid w:val="10534639"/>
    <w:rsid w:val="105A28F6"/>
    <w:rsid w:val="106F0017"/>
    <w:rsid w:val="10795B97"/>
    <w:rsid w:val="10855112"/>
    <w:rsid w:val="109632CC"/>
    <w:rsid w:val="10A22942"/>
    <w:rsid w:val="10BF52F3"/>
    <w:rsid w:val="112B374A"/>
    <w:rsid w:val="113377C8"/>
    <w:rsid w:val="114031DA"/>
    <w:rsid w:val="114634A3"/>
    <w:rsid w:val="11753F3B"/>
    <w:rsid w:val="119D0A18"/>
    <w:rsid w:val="11AF4D4C"/>
    <w:rsid w:val="11C23E7D"/>
    <w:rsid w:val="11C25897"/>
    <w:rsid w:val="12313538"/>
    <w:rsid w:val="12325024"/>
    <w:rsid w:val="124B2F3A"/>
    <w:rsid w:val="126F09CF"/>
    <w:rsid w:val="128E7CAA"/>
    <w:rsid w:val="135172E6"/>
    <w:rsid w:val="1359268F"/>
    <w:rsid w:val="138827EB"/>
    <w:rsid w:val="13A95575"/>
    <w:rsid w:val="13B90680"/>
    <w:rsid w:val="13D14E15"/>
    <w:rsid w:val="143D2AC1"/>
    <w:rsid w:val="14497649"/>
    <w:rsid w:val="14795FB4"/>
    <w:rsid w:val="14A12AC5"/>
    <w:rsid w:val="14B34F68"/>
    <w:rsid w:val="14DB04C0"/>
    <w:rsid w:val="14E00AC7"/>
    <w:rsid w:val="15823BF8"/>
    <w:rsid w:val="15B90672"/>
    <w:rsid w:val="15D53080"/>
    <w:rsid w:val="15F647F0"/>
    <w:rsid w:val="160D24A0"/>
    <w:rsid w:val="16195862"/>
    <w:rsid w:val="16395B90"/>
    <w:rsid w:val="163E7608"/>
    <w:rsid w:val="165560D2"/>
    <w:rsid w:val="166C600B"/>
    <w:rsid w:val="16865BF4"/>
    <w:rsid w:val="168F2A39"/>
    <w:rsid w:val="16B0440B"/>
    <w:rsid w:val="16CE5AE8"/>
    <w:rsid w:val="17063451"/>
    <w:rsid w:val="17585EFB"/>
    <w:rsid w:val="17771EF1"/>
    <w:rsid w:val="17E1696F"/>
    <w:rsid w:val="17E34C7B"/>
    <w:rsid w:val="181F390A"/>
    <w:rsid w:val="18553EFB"/>
    <w:rsid w:val="18BA1792"/>
    <w:rsid w:val="18BE54AB"/>
    <w:rsid w:val="18EE0E40"/>
    <w:rsid w:val="18F03E0E"/>
    <w:rsid w:val="1916268E"/>
    <w:rsid w:val="191D1854"/>
    <w:rsid w:val="192A644F"/>
    <w:rsid w:val="193844D5"/>
    <w:rsid w:val="19472442"/>
    <w:rsid w:val="197446A2"/>
    <w:rsid w:val="198F5911"/>
    <w:rsid w:val="19C620D8"/>
    <w:rsid w:val="19ED31E3"/>
    <w:rsid w:val="1A1F3086"/>
    <w:rsid w:val="1A417587"/>
    <w:rsid w:val="1A571195"/>
    <w:rsid w:val="1A710A6A"/>
    <w:rsid w:val="1A967652"/>
    <w:rsid w:val="1AB046E3"/>
    <w:rsid w:val="1AD77023"/>
    <w:rsid w:val="1B384941"/>
    <w:rsid w:val="1B5E36D7"/>
    <w:rsid w:val="1B91347B"/>
    <w:rsid w:val="1B9B46FB"/>
    <w:rsid w:val="1BD60879"/>
    <w:rsid w:val="1C310C44"/>
    <w:rsid w:val="1C5D27B5"/>
    <w:rsid w:val="1C74790C"/>
    <w:rsid w:val="1C7E0366"/>
    <w:rsid w:val="1CB13ED8"/>
    <w:rsid w:val="1CBE0FD4"/>
    <w:rsid w:val="1CDF583F"/>
    <w:rsid w:val="1D7917D2"/>
    <w:rsid w:val="1DA21104"/>
    <w:rsid w:val="1DD953DF"/>
    <w:rsid w:val="1DE834AC"/>
    <w:rsid w:val="1E220D30"/>
    <w:rsid w:val="1E3D2BCB"/>
    <w:rsid w:val="1E4833A0"/>
    <w:rsid w:val="1E4C608A"/>
    <w:rsid w:val="1E532C6C"/>
    <w:rsid w:val="1E5418DB"/>
    <w:rsid w:val="1E594C23"/>
    <w:rsid w:val="1E8F29AD"/>
    <w:rsid w:val="1EB66FF0"/>
    <w:rsid w:val="1EC66D9C"/>
    <w:rsid w:val="1EDE2D5C"/>
    <w:rsid w:val="1F104C0D"/>
    <w:rsid w:val="1F4402E9"/>
    <w:rsid w:val="1F7460B3"/>
    <w:rsid w:val="1F7B1EF4"/>
    <w:rsid w:val="1F8E50F2"/>
    <w:rsid w:val="1FBF4B75"/>
    <w:rsid w:val="1FDC6E9A"/>
    <w:rsid w:val="1FEC2008"/>
    <w:rsid w:val="203D376E"/>
    <w:rsid w:val="209B5F4B"/>
    <w:rsid w:val="20AE19CA"/>
    <w:rsid w:val="20E661B9"/>
    <w:rsid w:val="212843EE"/>
    <w:rsid w:val="213161D7"/>
    <w:rsid w:val="213275DB"/>
    <w:rsid w:val="213A68E3"/>
    <w:rsid w:val="214146CA"/>
    <w:rsid w:val="21C10BFF"/>
    <w:rsid w:val="21DE27F8"/>
    <w:rsid w:val="220A6A85"/>
    <w:rsid w:val="221F150A"/>
    <w:rsid w:val="222F49F2"/>
    <w:rsid w:val="22461C8F"/>
    <w:rsid w:val="22472CFB"/>
    <w:rsid w:val="22AE4936"/>
    <w:rsid w:val="22D33E4F"/>
    <w:rsid w:val="22D47F17"/>
    <w:rsid w:val="22DB16F6"/>
    <w:rsid w:val="22DE3526"/>
    <w:rsid w:val="22E13380"/>
    <w:rsid w:val="231F0B84"/>
    <w:rsid w:val="23702ABE"/>
    <w:rsid w:val="238F3E12"/>
    <w:rsid w:val="23A2277C"/>
    <w:rsid w:val="23E32EED"/>
    <w:rsid w:val="242F0417"/>
    <w:rsid w:val="24596806"/>
    <w:rsid w:val="24A807B3"/>
    <w:rsid w:val="24B00212"/>
    <w:rsid w:val="24D952D6"/>
    <w:rsid w:val="25134969"/>
    <w:rsid w:val="255149E7"/>
    <w:rsid w:val="255D6348"/>
    <w:rsid w:val="25D20480"/>
    <w:rsid w:val="264D61F0"/>
    <w:rsid w:val="267A1BC6"/>
    <w:rsid w:val="26831473"/>
    <w:rsid w:val="269B7D2A"/>
    <w:rsid w:val="26A10E3D"/>
    <w:rsid w:val="26D10086"/>
    <w:rsid w:val="26E77441"/>
    <w:rsid w:val="271C6DD2"/>
    <w:rsid w:val="27383550"/>
    <w:rsid w:val="273C0CF1"/>
    <w:rsid w:val="27452614"/>
    <w:rsid w:val="27BF3A38"/>
    <w:rsid w:val="27D27FAF"/>
    <w:rsid w:val="27E2357E"/>
    <w:rsid w:val="27E40714"/>
    <w:rsid w:val="27E871A6"/>
    <w:rsid w:val="28144833"/>
    <w:rsid w:val="28291154"/>
    <w:rsid w:val="28615858"/>
    <w:rsid w:val="28820E72"/>
    <w:rsid w:val="289211F0"/>
    <w:rsid w:val="28C3168E"/>
    <w:rsid w:val="28E7551F"/>
    <w:rsid w:val="28EE76F8"/>
    <w:rsid w:val="28EF5426"/>
    <w:rsid w:val="296745CA"/>
    <w:rsid w:val="29720B91"/>
    <w:rsid w:val="297E5734"/>
    <w:rsid w:val="29AE12A6"/>
    <w:rsid w:val="29B175E9"/>
    <w:rsid w:val="29B4470D"/>
    <w:rsid w:val="29E1045C"/>
    <w:rsid w:val="29FC60D1"/>
    <w:rsid w:val="2A144F2C"/>
    <w:rsid w:val="2A194B27"/>
    <w:rsid w:val="2A1A7767"/>
    <w:rsid w:val="2A2537AE"/>
    <w:rsid w:val="2A930A9D"/>
    <w:rsid w:val="2AB03AF4"/>
    <w:rsid w:val="2AB523B8"/>
    <w:rsid w:val="2ADD3D42"/>
    <w:rsid w:val="2B1447FA"/>
    <w:rsid w:val="2B1E2511"/>
    <w:rsid w:val="2B3C18E1"/>
    <w:rsid w:val="2B521A1C"/>
    <w:rsid w:val="2B96586E"/>
    <w:rsid w:val="2B994E42"/>
    <w:rsid w:val="2BAC17D3"/>
    <w:rsid w:val="2BD47DD1"/>
    <w:rsid w:val="2BD55981"/>
    <w:rsid w:val="2C18381B"/>
    <w:rsid w:val="2C322EC5"/>
    <w:rsid w:val="2C50060E"/>
    <w:rsid w:val="2C821C2D"/>
    <w:rsid w:val="2C895D37"/>
    <w:rsid w:val="2CBD182C"/>
    <w:rsid w:val="2CD00E04"/>
    <w:rsid w:val="2CFC4BC5"/>
    <w:rsid w:val="2D0863A6"/>
    <w:rsid w:val="2D1E5561"/>
    <w:rsid w:val="2D3947DE"/>
    <w:rsid w:val="2DD03A19"/>
    <w:rsid w:val="2DDF5478"/>
    <w:rsid w:val="2DEB58A4"/>
    <w:rsid w:val="2E082218"/>
    <w:rsid w:val="2EDA3FE7"/>
    <w:rsid w:val="2EEA3C07"/>
    <w:rsid w:val="2F010232"/>
    <w:rsid w:val="2F11639D"/>
    <w:rsid w:val="2F1370BD"/>
    <w:rsid w:val="2F23058A"/>
    <w:rsid w:val="2F2424C3"/>
    <w:rsid w:val="2F293F89"/>
    <w:rsid w:val="2F30200E"/>
    <w:rsid w:val="2F5E3BC0"/>
    <w:rsid w:val="2F646B00"/>
    <w:rsid w:val="2F6659F5"/>
    <w:rsid w:val="2F8A6464"/>
    <w:rsid w:val="2FC52D6E"/>
    <w:rsid w:val="2FE215DF"/>
    <w:rsid w:val="30162FB1"/>
    <w:rsid w:val="3022711E"/>
    <w:rsid w:val="303D3F2A"/>
    <w:rsid w:val="307459ED"/>
    <w:rsid w:val="30B6395C"/>
    <w:rsid w:val="30DA0F12"/>
    <w:rsid w:val="310162B8"/>
    <w:rsid w:val="31250C4C"/>
    <w:rsid w:val="31517E3B"/>
    <w:rsid w:val="316C5484"/>
    <w:rsid w:val="318B2A07"/>
    <w:rsid w:val="319A2B3F"/>
    <w:rsid w:val="31A00DEF"/>
    <w:rsid w:val="31C5077B"/>
    <w:rsid w:val="320B2FD9"/>
    <w:rsid w:val="3224414A"/>
    <w:rsid w:val="324E7188"/>
    <w:rsid w:val="32511770"/>
    <w:rsid w:val="32753A4A"/>
    <w:rsid w:val="32990E98"/>
    <w:rsid w:val="32A655C6"/>
    <w:rsid w:val="32B877A7"/>
    <w:rsid w:val="32F6377C"/>
    <w:rsid w:val="32FD237D"/>
    <w:rsid w:val="3314317F"/>
    <w:rsid w:val="331A622A"/>
    <w:rsid w:val="3330559B"/>
    <w:rsid w:val="333E0EDA"/>
    <w:rsid w:val="33702B20"/>
    <w:rsid w:val="33730785"/>
    <w:rsid w:val="33801086"/>
    <w:rsid w:val="338679F2"/>
    <w:rsid w:val="33E370B5"/>
    <w:rsid w:val="34373933"/>
    <w:rsid w:val="34D52353"/>
    <w:rsid w:val="34D562D6"/>
    <w:rsid w:val="34E03D9E"/>
    <w:rsid w:val="34EA46D5"/>
    <w:rsid w:val="35254CAC"/>
    <w:rsid w:val="353D0ECF"/>
    <w:rsid w:val="354A2354"/>
    <w:rsid w:val="354F6A74"/>
    <w:rsid w:val="35711025"/>
    <w:rsid w:val="35883C18"/>
    <w:rsid w:val="35F572AB"/>
    <w:rsid w:val="3601078F"/>
    <w:rsid w:val="361B6477"/>
    <w:rsid w:val="362A4818"/>
    <w:rsid w:val="362C46C7"/>
    <w:rsid w:val="36372F05"/>
    <w:rsid w:val="36406AFD"/>
    <w:rsid w:val="364B2BFD"/>
    <w:rsid w:val="364B7E4B"/>
    <w:rsid w:val="36594452"/>
    <w:rsid w:val="36933E9A"/>
    <w:rsid w:val="370E3520"/>
    <w:rsid w:val="37691085"/>
    <w:rsid w:val="377D4AB7"/>
    <w:rsid w:val="37B502A5"/>
    <w:rsid w:val="37BB41E6"/>
    <w:rsid w:val="37D17489"/>
    <w:rsid w:val="37FA05A7"/>
    <w:rsid w:val="37FE1201"/>
    <w:rsid w:val="381D395D"/>
    <w:rsid w:val="382752A2"/>
    <w:rsid w:val="383D5063"/>
    <w:rsid w:val="38B22DDC"/>
    <w:rsid w:val="38CB27C3"/>
    <w:rsid w:val="38CC4A01"/>
    <w:rsid w:val="38DE222E"/>
    <w:rsid w:val="38F26D1F"/>
    <w:rsid w:val="392A3BCA"/>
    <w:rsid w:val="39303DEF"/>
    <w:rsid w:val="3951111C"/>
    <w:rsid w:val="395141BA"/>
    <w:rsid w:val="395F7778"/>
    <w:rsid w:val="39632093"/>
    <w:rsid w:val="396D72FD"/>
    <w:rsid w:val="39C85235"/>
    <w:rsid w:val="39D31588"/>
    <w:rsid w:val="3A161B0A"/>
    <w:rsid w:val="3A2A7928"/>
    <w:rsid w:val="3ACF7BED"/>
    <w:rsid w:val="3AE94761"/>
    <w:rsid w:val="3B014827"/>
    <w:rsid w:val="3B0E129E"/>
    <w:rsid w:val="3B1A1661"/>
    <w:rsid w:val="3B586823"/>
    <w:rsid w:val="3BEF2289"/>
    <w:rsid w:val="3BF579F5"/>
    <w:rsid w:val="3C026128"/>
    <w:rsid w:val="3C3D4E7B"/>
    <w:rsid w:val="3C69783D"/>
    <w:rsid w:val="3C6A0B77"/>
    <w:rsid w:val="3CE856F7"/>
    <w:rsid w:val="3D154158"/>
    <w:rsid w:val="3DD27BA0"/>
    <w:rsid w:val="3E1D0ACF"/>
    <w:rsid w:val="3E433C12"/>
    <w:rsid w:val="3E4A2C6F"/>
    <w:rsid w:val="3E7D5436"/>
    <w:rsid w:val="3EC36C55"/>
    <w:rsid w:val="3EC66168"/>
    <w:rsid w:val="3EE742D7"/>
    <w:rsid w:val="3F437571"/>
    <w:rsid w:val="3F572ADF"/>
    <w:rsid w:val="3F5B455D"/>
    <w:rsid w:val="3F820A93"/>
    <w:rsid w:val="3F947128"/>
    <w:rsid w:val="3FA81EF7"/>
    <w:rsid w:val="3FDF73AB"/>
    <w:rsid w:val="4010048F"/>
    <w:rsid w:val="401668E3"/>
    <w:rsid w:val="401B2CEB"/>
    <w:rsid w:val="40990788"/>
    <w:rsid w:val="40A90250"/>
    <w:rsid w:val="40D92B8F"/>
    <w:rsid w:val="40E96C5C"/>
    <w:rsid w:val="40FF1E09"/>
    <w:rsid w:val="4140210C"/>
    <w:rsid w:val="416A1A83"/>
    <w:rsid w:val="4180540D"/>
    <w:rsid w:val="419178DD"/>
    <w:rsid w:val="419E4A5A"/>
    <w:rsid w:val="41C07942"/>
    <w:rsid w:val="41CF117B"/>
    <w:rsid w:val="42004D8B"/>
    <w:rsid w:val="42012D1F"/>
    <w:rsid w:val="421D3256"/>
    <w:rsid w:val="427577E8"/>
    <w:rsid w:val="42A66789"/>
    <w:rsid w:val="43753820"/>
    <w:rsid w:val="43E91DEA"/>
    <w:rsid w:val="441C19BB"/>
    <w:rsid w:val="442D2045"/>
    <w:rsid w:val="44383A38"/>
    <w:rsid w:val="447A2CF3"/>
    <w:rsid w:val="4486123D"/>
    <w:rsid w:val="44D42F5A"/>
    <w:rsid w:val="44E00664"/>
    <w:rsid w:val="45016C59"/>
    <w:rsid w:val="45085629"/>
    <w:rsid w:val="452E7CB7"/>
    <w:rsid w:val="456A4FFE"/>
    <w:rsid w:val="458A46B9"/>
    <w:rsid w:val="45A07203"/>
    <w:rsid w:val="45A83A68"/>
    <w:rsid w:val="45C37825"/>
    <w:rsid w:val="45FD503C"/>
    <w:rsid w:val="460C0163"/>
    <w:rsid w:val="4626563B"/>
    <w:rsid w:val="46355B24"/>
    <w:rsid w:val="46405051"/>
    <w:rsid w:val="46607BE6"/>
    <w:rsid w:val="4677715E"/>
    <w:rsid w:val="468272ED"/>
    <w:rsid w:val="469E409A"/>
    <w:rsid w:val="46C0164B"/>
    <w:rsid w:val="46E7342D"/>
    <w:rsid w:val="474B464F"/>
    <w:rsid w:val="476728A7"/>
    <w:rsid w:val="47A6676F"/>
    <w:rsid w:val="47B15472"/>
    <w:rsid w:val="47BC19DA"/>
    <w:rsid w:val="47BE5890"/>
    <w:rsid w:val="47E92C65"/>
    <w:rsid w:val="48077E22"/>
    <w:rsid w:val="483F080D"/>
    <w:rsid w:val="487C4B2F"/>
    <w:rsid w:val="488B49ED"/>
    <w:rsid w:val="488C0C7F"/>
    <w:rsid w:val="48C3393E"/>
    <w:rsid w:val="48C66071"/>
    <w:rsid w:val="48D95C62"/>
    <w:rsid w:val="48EA09DD"/>
    <w:rsid w:val="48F31B66"/>
    <w:rsid w:val="48FC500B"/>
    <w:rsid w:val="495243F3"/>
    <w:rsid w:val="49C83634"/>
    <w:rsid w:val="49D56577"/>
    <w:rsid w:val="49F150AC"/>
    <w:rsid w:val="4A0E700C"/>
    <w:rsid w:val="4A3365CC"/>
    <w:rsid w:val="4AAB4BD5"/>
    <w:rsid w:val="4AE67AD3"/>
    <w:rsid w:val="4B173727"/>
    <w:rsid w:val="4B34134D"/>
    <w:rsid w:val="4B43519A"/>
    <w:rsid w:val="4B7C1CD5"/>
    <w:rsid w:val="4B8A1930"/>
    <w:rsid w:val="4B8A2094"/>
    <w:rsid w:val="4BA17F9B"/>
    <w:rsid w:val="4BDD00B0"/>
    <w:rsid w:val="4BF2512A"/>
    <w:rsid w:val="4C1600FC"/>
    <w:rsid w:val="4C172E84"/>
    <w:rsid w:val="4C4F350D"/>
    <w:rsid w:val="4C651609"/>
    <w:rsid w:val="4C770F23"/>
    <w:rsid w:val="4C987BEF"/>
    <w:rsid w:val="4CC73A3B"/>
    <w:rsid w:val="4CF245DF"/>
    <w:rsid w:val="4D211995"/>
    <w:rsid w:val="4D3F68AE"/>
    <w:rsid w:val="4D6D6F29"/>
    <w:rsid w:val="4D6E47C2"/>
    <w:rsid w:val="4DA51D21"/>
    <w:rsid w:val="4DA810C4"/>
    <w:rsid w:val="4DA83741"/>
    <w:rsid w:val="4DB44DF8"/>
    <w:rsid w:val="4DB767AB"/>
    <w:rsid w:val="4DD104BC"/>
    <w:rsid w:val="4E297E0F"/>
    <w:rsid w:val="4E4F6C1C"/>
    <w:rsid w:val="4E640A70"/>
    <w:rsid w:val="4E9B3E4C"/>
    <w:rsid w:val="4EB07B1A"/>
    <w:rsid w:val="4EC17BE8"/>
    <w:rsid w:val="4F0D08BB"/>
    <w:rsid w:val="4F52408D"/>
    <w:rsid w:val="4F8520B7"/>
    <w:rsid w:val="50294A6B"/>
    <w:rsid w:val="503D1AC3"/>
    <w:rsid w:val="504959D4"/>
    <w:rsid w:val="508A275A"/>
    <w:rsid w:val="50D422E2"/>
    <w:rsid w:val="50E341E6"/>
    <w:rsid w:val="5111303B"/>
    <w:rsid w:val="511E0185"/>
    <w:rsid w:val="51496252"/>
    <w:rsid w:val="517B5962"/>
    <w:rsid w:val="519F1480"/>
    <w:rsid w:val="51DF53D3"/>
    <w:rsid w:val="521A56BA"/>
    <w:rsid w:val="522529CA"/>
    <w:rsid w:val="522672AF"/>
    <w:rsid w:val="52382373"/>
    <w:rsid w:val="525675C3"/>
    <w:rsid w:val="527302EF"/>
    <w:rsid w:val="52AC24C7"/>
    <w:rsid w:val="52D2701D"/>
    <w:rsid w:val="52D43DDA"/>
    <w:rsid w:val="52D65E60"/>
    <w:rsid w:val="5322179D"/>
    <w:rsid w:val="536958D7"/>
    <w:rsid w:val="53850856"/>
    <w:rsid w:val="548501C3"/>
    <w:rsid w:val="54885C79"/>
    <w:rsid w:val="54FC1017"/>
    <w:rsid w:val="54FC3FBC"/>
    <w:rsid w:val="55163769"/>
    <w:rsid w:val="551A1E83"/>
    <w:rsid w:val="551C71BB"/>
    <w:rsid w:val="555B3D50"/>
    <w:rsid w:val="555F08DF"/>
    <w:rsid w:val="5576195F"/>
    <w:rsid w:val="559358CC"/>
    <w:rsid w:val="55AA7AA5"/>
    <w:rsid w:val="55CC2A06"/>
    <w:rsid w:val="5638657A"/>
    <w:rsid w:val="56981105"/>
    <w:rsid w:val="56B87744"/>
    <w:rsid w:val="56E3397F"/>
    <w:rsid w:val="56E94D96"/>
    <w:rsid w:val="56EC4C21"/>
    <w:rsid w:val="56F05727"/>
    <w:rsid w:val="57207E45"/>
    <w:rsid w:val="578C0FD8"/>
    <w:rsid w:val="579A5ADB"/>
    <w:rsid w:val="57ED7498"/>
    <w:rsid w:val="58314B17"/>
    <w:rsid w:val="58774E7A"/>
    <w:rsid w:val="587F328E"/>
    <w:rsid w:val="588408B5"/>
    <w:rsid w:val="588B06E2"/>
    <w:rsid w:val="58F85EF7"/>
    <w:rsid w:val="595449E3"/>
    <w:rsid w:val="597B1552"/>
    <w:rsid w:val="599F1717"/>
    <w:rsid w:val="5A074AD9"/>
    <w:rsid w:val="5A13311B"/>
    <w:rsid w:val="5A24605B"/>
    <w:rsid w:val="5A4975B0"/>
    <w:rsid w:val="5A4F11ED"/>
    <w:rsid w:val="5AA10229"/>
    <w:rsid w:val="5AB07351"/>
    <w:rsid w:val="5AB70CDC"/>
    <w:rsid w:val="5ABB60C9"/>
    <w:rsid w:val="5ACB6CD1"/>
    <w:rsid w:val="5ACE2CC8"/>
    <w:rsid w:val="5ADD4314"/>
    <w:rsid w:val="5B0A6833"/>
    <w:rsid w:val="5B2E66F7"/>
    <w:rsid w:val="5B776D88"/>
    <w:rsid w:val="5BBE0A03"/>
    <w:rsid w:val="5BDD3988"/>
    <w:rsid w:val="5BE25FE5"/>
    <w:rsid w:val="5BFC0906"/>
    <w:rsid w:val="5C0C0026"/>
    <w:rsid w:val="5C207F11"/>
    <w:rsid w:val="5C5506F2"/>
    <w:rsid w:val="5C73776D"/>
    <w:rsid w:val="5CC130C4"/>
    <w:rsid w:val="5CDB0CEE"/>
    <w:rsid w:val="5CEC33E3"/>
    <w:rsid w:val="5CFA38B7"/>
    <w:rsid w:val="5D312AEE"/>
    <w:rsid w:val="5D525172"/>
    <w:rsid w:val="5D535310"/>
    <w:rsid w:val="5D5C1D49"/>
    <w:rsid w:val="5D7D2793"/>
    <w:rsid w:val="5D80387A"/>
    <w:rsid w:val="5D995E99"/>
    <w:rsid w:val="5DB062E1"/>
    <w:rsid w:val="5DCE43B3"/>
    <w:rsid w:val="5DDD3A46"/>
    <w:rsid w:val="5DEE13C9"/>
    <w:rsid w:val="5E253F46"/>
    <w:rsid w:val="5E3D12E9"/>
    <w:rsid w:val="5E9E13D8"/>
    <w:rsid w:val="5EB86430"/>
    <w:rsid w:val="5EC15985"/>
    <w:rsid w:val="5EE170BB"/>
    <w:rsid w:val="5EF704F5"/>
    <w:rsid w:val="5EF76E05"/>
    <w:rsid w:val="5EFB737B"/>
    <w:rsid w:val="5F0B3DA0"/>
    <w:rsid w:val="5F186197"/>
    <w:rsid w:val="5F1A53F0"/>
    <w:rsid w:val="5F427F2C"/>
    <w:rsid w:val="5F7C3B09"/>
    <w:rsid w:val="5F815294"/>
    <w:rsid w:val="5F873116"/>
    <w:rsid w:val="5F97618E"/>
    <w:rsid w:val="5FA37082"/>
    <w:rsid w:val="5FAF75E7"/>
    <w:rsid w:val="600B005C"/>
    <w:rsid w:val="60565D02"/>
    <w:rsid w:val="60741B63"/>
    <w:rsid w:val="607A3271"/>
    <w:rsid w:val="60827968"/>
    <w:rsid w:val="61271B47"/>
    <w:rsid w:val="61276D3A"/>
    <w:rsid w:val="6133798F"/>
    <w:rsid w:val="6150245B"/>
    <w:rsid w:val="61662F8B"/>
    <w:rsid w:val="6167398B"/>
    <w:rsid w:val="61716D01"/>
    <w:rsid w:val="619505CC"/>
    <w:rsid w:val="61E72071"/>
    <w:rsid w:val="6216329A"/>
    <w:rsid w:val="62352C59"/>
    <w:rsid w:val="623F1A63"/>
    <w:rsid w:val="626E4FB5"/>
    <w:rsid w:val="62944B62"/>
    <w:rsid w:val="62A83554"/>
    <w:rsid w:val="62B8569C"/>
    <w:rsid w:val="62C50F9B"/>
    <w:rsid w:val="62CA7DC0"/>
    <w:rsid w:val="62CE4BDE"/>
    <w:rsid w:val="62E006E9"/>
    <w:rsid w:val="62E4398E"/>
    <w:rsid w:val="632A6117"/>
    <w:rsid w:val="635F7DD5"/>
    <w:rsid w:val="636F5093"/>
    <w:rsid w:val="639030B1"/>
    <w:rsid w:val="63A3215E"/>
    <w:rsid w:val="6448364D"/>
    <w:rsid w:val="645111D2"/>
    <w:rsid w:val="646C21F8"/>
    <w:rsid w:val="647965C2"/>
    <w:rsid w:val="648A60BB"/>
    <w:rsid w:val="64F924C2"/>
    <w:rsid w:val="65977601"/>
    <w:rsid w:val="65AC1743"/>
    <w:rsid w:val="65BB28E0"/>
    <w:rsid w:val="65D56BB3"/>
    <w:rsid w:val="65E963CF"/>
    <w:rsid w:val="65FA2D68"/>
    <w:rsid w:val="66483D0E"/>
    <w:rsid w:val="66582828"/>
    <w:rsid w:val="667148D9"/>
    <w:rsid w:val="66790BDD"/>
    <w:rsid w:val="66C05C57"/>
    <w:rsid w:val="66C75404"/>
    <w:rsid w:val="67001F8B"/>
    <w:rsid w:val="67137978"/>
    <w:rsid w:val="67242AB6"/>
    <w:rsid w:val="67260518"/>
    <w:rsid w:val="67427CD4"/>
    <w:rsid w:val="67547A5A"/>
    <w:rsid w:val="675F50DC"/>
    <w:rsid w:val="67725E40"/>
    <w:rsid w:val="67FF22A5"/>
    <w:rsid w:val="68353EA6"/>
    <w:rsid w:val="6852108A"/>
    <w:rsid w:val="687F0060"/>
    <w:rsid w:val="691D7BDC"/>
    <w:rsid w:val="692213E6"/>
    <w:rsid w:val="6955167D"/>
    <w:rsid w:val="696372B1"/>
    <w:rsid w:val="69691BEB"/>
    <w:rsid w:val="699955F5"/>
    <w:rsid w:val="69AF3C47"/>
    <w:rsid w:val="69C30F7A"/>
    <w:rsid w:val="6A026CD8"/>
    <w:rsid w:val="6A397A62"/>
    <w:rsid w:val="6A5C6FA0"/>
    <w:rsid w:val="6A6D50F7"/>
    <w:rsid w:val="6A7F6C5D"/>
    <w:rsid w:val="6A9931B9"/>
    <w:rsid w:val="6A9F263E"/>
    <w:rsid w:val="6AD610A3"/>
    <w:rsid w:val="6B35799D"/>
    <w:rsid w:val="6B6B6060"/>
    <w:rsid w:val="6B7A482E"/>
    <w:rsid w:val="6B7E1AEE"/>
    <w:rsid w:val="6B8251D3"/>
    <w:rsid w:val="6BB11103"/>
    <w:rsid w:val="6BC67E4A"/>
    <w:rsid w:val="6BCD1EC8"/>
    <w:rsid w:val="6BEA0B46"/>
    <w:rsid w:val="6C6F7A04"/>
    <w:rsid w:val="6CB70174"/>
    <w:rsid w:val="6D1700D1"/>
    <w:rsid w:val="6D234D9F"/>
    <w:rsid w:val="6D5A2DC7"/>
    <w:rsid w:val="6D8558D0"/>
    <w:rsid w:val="6D8931E1"/>
    <w:rsid w:val="6E293C03"/>
    <w:rsid w:val="6E5C4749"/>
    <w:rsid w:val="6E7019FF"/>
    <w:rsid w:val="6E7D28B0"/>
    <w:rsid w:val="6E837D7E"/>
    <w:rsid w:val="6E882025"/>
    <w:rsid w:val="6EB71753"/>
    <w:rsid w:val="6F1C6515"/>
    <w:rsid w:val="6F1F03A7"/>
    <w:rsid w:val="6F5167C4"/>
    <w:rsid w:val="6FE57499"/>
    <w:rsid w:val="6FEC32A2"/>
    <w:rsid w:val="6FF3044D"/>
    <w:rsid w:val="70575BDA"/>
    <w:rsid w:val="70866740"/>
    <w:rsid w:val="708A2065"/>
    <w:rsid w:val="709A4CC3"/>
    <w:rsid w:val="70AA08CF"/>
    <w:rsid w:val="70B546B5"/>
    <w:rsid w:val="70C21CF6"/>
    <w:rsid w:val="70CA008E"/>
    <w:rsid w:val="712B6C4C"/>
    <w:rsid w:val="715800C0"/>
    <w:rsid w:val="725E2FD7"/>
    <w:rsid w:val="72891B26"/>
    <w:rsid w:val="729C0969"/>
    <w:rsid w:val="72C30E0C"/>
    <w:rsid w:val="72C871D0"/>
    <w:rsid w:val="731A0089"/>
    <w:rsid w:val="732F57C5"/>
    <w:rsid w:val="73A03E51"/>
    <w:rsid w:val="74037DBD"/>
    <w:rsid w:val="74445A40"/>
    <w:rsid w:val="747D30EE"/>
    <w:rsid w:val="74855697"/>
    <w:rsid w:val="749A5150"/>
    <w:rsid w:val="74B66DB0"/>
    <w:rsid w:val="75455E77"/>
    <w:rsid w:val="758812EB"/>
    <w:rsid w:val="75E21304"/>
    <w:rsid w:val="75FA712B"/>
    <w:rsid w:val="75FF79C6"/>
    <w:rsid w:val="76201D6D"/>
    <w:rsid w:val="765273EE"/>
    <w:rsid w:val="767E3C4A"/>
    <w:rsid w:val="768A2F6E"/>
    <w:rsid w:val="76CF2CD9"/>
    <w:rsid w:val="76E42F31"/>
    <w:rsid w:val="777A1503"/>
    <w:rsid w:val="77841703"/>
    <w:rsid w:val="778D5D07"/>
    <w:rsid w:val="77F5664B"/>
    <w:rsid w:val="782F4EA9"/>
    <w:rsid w:val="783656F5"/>
    <w:rsid w:val="784A3B68"/>
    <w:rsid w:val="784E7652"/>
    <w:rsid w:val="788505E9"/>
    <w:rsid w:val="7891411A"/>
    <w:rsid w:val="78C53AE4"/>
    <w:rsid w:val="78D447CA"/>
    <w:rsid w:val="78E016AA"/>
    <w:rsid w:val="79265F2D"/>
    <w:rsid w:val="79282F1E"/>
    <w:rsid w:val="794D76EA"/>
    <w:rsid w:val="79535A0E"/>
    <w:rsid w:val="795E25FB"/>
    <w:rsid w:val="79706BDD"/>
    <w:rsid w:val="797B446B"/>
    <w:rsid w:val="7986217B"/>
    <w:rsid w:val="799B2B9D"/>
    <w:rsid w:val="79B70D2D"/>
    <w:rsid w:val="79E87A07"/>
    <w:rsid w:val="7A0628E6"/>
    <w:rsid w:val="7A1B53C4"/>
    <w:rsid w:val="7A3C75FB"/>
    <w:rsid w:val="7A5344E8"/>
    <w:rsid w:val="7A766628"/>
    <w:rsid w:val="7A855ABB"/>
    <w:rsid w:val="7AA43910"/>
    <w:rsid w:val="7AB10057"/>
    <w:rsid w:val="7ABB03BC"/>
    <w:rsid w:val="7ACC697C"/>
    <w:rsid w:val="7B4562EE"/>
    <w:rsid w:val="7B4A11D8"/>
    <w:rsid w:val="7B4A3C06"/>
    <w:rsid w:val="7B4E6FCC"/>
    <w:rsid w:val="7B936329"/>
    <w:rsid w:val="7BA05A69"/>
    <w:rsid w:val="7BD42B58"/>
    <w:rsid w:val="7BD76F86"/>
    <w:rsid w:val="7BEF4106"/>
    <w:rsid w:val="7BF12DB9"/>
    <w:rsid w:val="7C150CD0"/>
    <w:rsid w:val="7C445906"/>
    <w:rsid w:val="7C5E1052"/>
    <w:rsid w:val="7C6B331B"/>
    <w:rsid w:val="7C782F11"/>
    <w:rsid w:val="7CCD0CDE"/>
    <w:rsid w:val="7CD93328"/>
    <w:rsid w:val="7CE911F4"/>
    <w:rsid w:val="7CED59D0"/>
    <w:rsid w:val="7D025051"/>
    <w:rsid w:val="7D0E5BEB"/>
    <w:rsid w:val="7D284344"/>
    <w:rsid w:val="7D325AF5"/>
    <w:rsid w:val="7D701D9B"/>
    <w:rsid w:val="7DA11B2A"/>
    <w:rsid w:val="7DAB223E"/>
    <w:rsid w:val="7DCC3B28"/>
    <w:rsid w:val="7DD62CD3"/>
    <w:rsid w:val="7E373284"/>
    <w:rsid w:val="7E4920F2"/>
    <w:rsid w:val="7E94130B"/>
    <w:rsid w:val="7E986450"/>
    <w:rsid w:val="7EA91F77"/>
    <w:rsid w:val="7EBE2C4C"/>
    <w:rsid w:val="7EFB28B3"/>
    <w:rsid w:val="7F055E99"/>
    <w:rsid w:val="7F466BD5"/>
    <w:rsid w:val="7F90492A"/>
    <w:rsid w:val="7FB51F96"/>
    <w:rsid w:val="7FBF2B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99" w:semiHidden="0" w:name="toc 1"/>
    <w:lsdException w:qFormat="1" w:unhideWhenUsed="0" w:uiPriority="99" w:semiHidden="0" w:name="toc 2"/>
    <w:lsdException w:qFormat="1" w:unhideWhenUsed="0" w:uiPriority="99" w:semiHidden="0" w:name="toc 3"/>
    <w:lsdException w:qFormat="1" w:unhideWhenUsed="0" w:uiPriority="99" w:semiHidden="0" w:name="toc 4"/>
    <w:lsdException w:qFormat="1" w:unhideWhenUsed="0" w:uiPriority="99" w:semiHidden="0" w:name="toc 5"/>
    <w:lsdException w:qFormat="1" w:unhideWhenUsed="0" w:uiPriority="99" w:semiHidden="0" w:name="toc 6"/>
    <w:lsdException w:qFormat="1" w:unhideWhenUsed="0" w:uiPriority="99" w:semiHidden="0" w:name="toc 7"/>
    <w:lsdException w:qFormat="1" w:unhideWhenUsed="0" w:uiPriority="99" w:semiHidden="0" w:name="toc 8"/>
    <w:lsdException w:qFormat="1" w:unhideWhenUsed="0" w:uiPriority="99" w:semiHidden="0" w:name="toc 9"/>
    <w:lsdException w:uiPriority="99" w:name="Normal Indent"/>
    <w:lsdException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99" w:semiHidden="0" w:name="List 2"/>
    <w:lsdException w:qFormat="1" w:unhideWhenUsed="0" w:uiPriority="99" w:semiHidden="0" w:name="List 3"/>
    <w:lsdException w:qFormat="1" w:unhideWhenUsed="0" w:uiPriority="99" w:semiHidden="0"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qFormat="1" w:unhideWhenUsed="0" w:uiPriority="99" w:semiHidden="0" w:name="Body Text First Indent"/>
    <w:lsdException w:qFormat="1" w:unhideWhenUsed="0" w:uiPriority="99" w:semiHidden="0" w:name="Body Text First Indent 2"/>
    <w:lsdException w:uiPriority="99" w:name="Note Heading"/>
    <w:lsdException w:qFormat="1" w:unhideWhenUsed="0" w:uiPriority="99" w:semiHidden="0" w:name="Body Text 2"/>
    <w:lsdException w:qFormat="1" w:uiPriority="99" w:name="Body Text 3"/>
    <w:lsdException w:qFormat="1" w:unhideWhenUsed="0" w:uiPriority="99" w:semiHidden="0" w:name="Body Text Indent 2"/>
    <w:lsdException w:qFormat="1" w:unhideWhenUsed="0" w:uiPriority="99" w:semiHidden="0"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qFormat="1" w:unhideWhenUsed="0" w:uiPriority="99" w:semiHidden="0"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ocked="1"/>
    <w:lsdException w:uiPriority="99"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48"/>
    <w:qFormat/>
    <w:uiPriority w:val="99"/>
    <w:pPr>
      <w:keepNext/>
      <w:keepLines/>
      <w:numPr>
        <w:ilvl w:val="0"/>
        <w:numId w:val="1"/>
      </w:numPr>
      <w:adjustRightInd w:val="0"/>
      <w:spacing w:before="160" w:after="160" w:line="160" w:lineRule="atLeast"/>
      <w:textAlignment w:val="baseline"/>
      <w:outlineLvl w:val="0"/>
    </w:pPr>
    <w:rPr>
      <w:rFonts w:ascii="黑体" w:eastAsia="黑体"/>
      <w:kern w:val="44"/>
      <w:sz w:val="32"/>
      <w:szCs w:val="20"/>
    </w:rPr>
  </w:style>
  <w:style w:type="paragraph" w:styleId="3">
    <w:name w:val="heading 2"/>
    <w:basedOn w:val="1"/>
    <w:next w:val="4"/>
    <w:link w:val="49"/>
    <w:qFormat/>
    <w:uiPriority w:val="99"/>
    <w:pPr>
      <w:keepNext/>
      <w:keepLines/>
      <w:adjustRightInd w:val="0"/>
      <w:spacing w:before="160" w:after="160" w:line="160" w:lineRule="atLeast"/>
      <w:ind w:left="851" w:hanging="425"/>
      <w:textAlignment w:val="baseline"/>
      <w:outlineLvl w:val="1"/>
    </w:pPr>
    <w:rPr>
      <w:rFonts w:ascii="黑体" w:hAnsi="Arial" w:eastAsia="黑体"/>
      <w:kern w:val="0"/>
      <w:sz w:val="28"/>
      <w:szCs w:val="20"/>
    </w:rPr>
  </w:style>
  <w:style w:type="paragraph" w:styleId="5">
    <w:name w:val="heading 3"/>
    <w:basedOn w:val="1"/>
    <w:next w:val="4"/>
    <w:link w:val="50"/>
    <w:qFormat/>
    <w:uiPriority w:val="99"/>
    <w:pPr>
      <w:keepNext/>
      <w:keepLines/>
      <w:numPr>
        <w:ilvl w:val="0"/>
        <w:numId w:val="2"/>
      </w:numPr>
      <w:adjustRightInd w:val="0"/>
      <w:spacing w:before="160" w:after="160" w:line="500" w:lineRule="exact"/>
      <w:textAlignment w:val="baseline"/>
      <w:outlineLvl w:val="2"/>
    </w:pPr>
    <w:rPr>
      <w:rFonts w:ascii="宋体" w:hAnsi="宋体"/>
      <w:b/>
      <w:color w:val="0000FF"/>
      <w:kern w:val="0"/>
      <w:sz w:val="24"/>
    </w:rPr>
  </w:style>
  <w:style w:type="paragraph" w:styleId="6">
    <w:name w:val="heading 4"/>
    <w:basedOn w:val="1"/>
    <w:next w:val="1"/>
    <w:link w:val="51"/>
    <w:qFormat/>
    <w:uiPriority w:val="99"/>
    <w:pPr>
      <w:keepNext/>
      <w:keepLines/>
      <w:adjustRightInd w:val="0"/>
      <w:spacing w:before="280" w:after="290" w:line="376" w:lineRule="atLeast"/>
      <w:ind w:left="1700" w:hanging="425"/>
      <w:textAlignment w:val="baseline"/>
      <w:outlineLvl w:val="3"/>
    </w:pPr>
    <w:rPr>
      <w:rFonts w:ascii="Arial" w:hAnsi="Arial" w:eastAsia="黑体"/>
      <w:b/>
      <w:kern w:val="0"/>
      <w:sz w:val="28"/>
      <w:szCs w:val="20"/>
    </w:rPr>
  </w:style>
  <w:style w:type="paragraph" w:styleId="7">
    <w:name w:val="heading 5"/>
    <w:basedOn w:val="1"/>
    <w:next w:val="1"/>
    <w:link w:val="52"/>
    <w:qFormat/>
    <w:uiPriority w:val="99"/>
    <w:pPr>
      <w:keepNext/>
      <w:keepLines/>
      <w:adjustRightInd w:val="0"/>
      <w:spacing w:before="280" w:after="290" w:line="376" w:lineRule="atLeast"/>
      <w:ind w:left="2125" w:hanging="425"/>
      <w:textAlignment w:val="baseline"/>
      <w:outlineLvl w:val="4"/>
    </w:pPr>
    <w:rPr>
      <w:b/>
      <w:kern w:val="0"/>
      <w:sz w:val="28"/>
      <w:szCs w:val="20"/>
    </w:rPr>
  </w:style>
  <w:style w:type="paragraph" w:styleId="8">
    <w:name w:val="heading 6"/>
    <w:basedOn w:val="1"/>
    <w:next w:val="1"/>
    <w:link w:val="53"/>
    <w:qFormat/>
    <w:uiPriority w:val="99"/>
    <w:pPr>
      <w:keepNext/>
      <w:keepLines/>
      <w:adjustRightInd w:val="0"/>
      <w:spacing w:before="240" w:after="64" w:line="320" w:lineRule="atLeast"/>
      <w:ind w:left="2550" w:hanging="425"/>
      <w:textAlignment w:val="baseline"/>
      <w:outlineLvl w:val="5"/>
    </w:pPr>
    <w:rPr>
      <w:rFonts w:ascii="Arial" w:hAnsi="Arial" w:eastAsia="黑体"/>
      <w:b/>
      <w:kern w:val="0"/>
      <w:sz w:val="24"/>
      <w:szCs w:val="20"/>
    </w:rPr>
  </w:style>
  <w:style w:type="paragraph" w:styleId="9">
    <w:name w:val="heading 7"/>
    <w:basedOn w:val="1"/>
    <w:next w:val="1"/>
    <w:link w:val="54"/>
    <w:qFormat/>
    <w:uiPriority w:val="99"/>
    <w:pPr>
      <w:keepNext/>
      <w:keepLines/>
      <w:adjustRightInd w:val="0"/>
      <w:spacing w:before="240" w:after="64" w:line="320" w:lineRule="atLeast"/>
      <w:ind w:left="2975" w:hanging="425"/>
      <w:textAlignment w:val="baseline"/>
      <w:outlineLvl w:val="6"/>
    </w:pPr>
    <w:rPr>
      <w:b/>
      <w:kern w:val="0"/>
      <w:sz w:val="24"/>
      <w:szCs w:val="20"/>
    </w:rPr>
  </w:style>
  <w:style w:type="paragraph" w:styleId="10">
    <w:name w:val="heading 8"/>
    <w:basedOn w:val="1"/>
    <w:next w:val="1"/>
    <w:link w:val="55"/>
    <w:qFormat/>
    <w:uiPriority w:val="99"/>
    <w:pPr>
      <w:keepNext/>
      <w:keepLines/>
      <w:adjustRightInd w:val="0"/>
      <w:spacing w:before="240" w:after="64" w:line="320" w:lineRule="atLeast"/>
      <w:ind w:left="3400" w:hanging="425"/>
      <w:textAlignment w:val="baseline"/>
      <w:outlineLvl w:val="7"/>
    </w:pPr>
    <w:rPr>
      <w:rFonts w:ascii="Arial" w:hAnsi="Arial" w:eastAsia="黑体"/>
      <w:kern w:val="0"/>
      <w:sz w:val="24"/>
      <w:szCs w:val="20"/>
    </w:rPr>
  </w:style>
  <w:style w:type="paragraph" w:styleId="11">
    <w:name w:val="heading 9"/>
    <w:basedOn w:val="1"/>
    <w:next w:val="1"/>
    <w:link w:val="56"/>
    <w:qFormat/>
    <w:uiPriority w:val="99"/>
    <w:pPr>
      <w:keepNext/>
      <w:keepLines/>
      <w:adjustRightInd w:val="0"/>
      <w:spacing w:before="240" w:after="64" w:line="320" w:lineRule="atLeast"/>
      <w:ind w:left="3825" w:hanging="425"/>
      <w:textAlignment w:val="baseline"/>
      <w:outlineLvl w:val="8"/>
    </w:pPr>
    <w:rPr>
      <w:rFonts w:ascii="Arial" w:hAnsi="Arial" w:eastAsia="黑体"/>
      <w:kern w:val="0"/>
      <w:szCs w:val="20"/>
    </w:rPr>
  </w:style>
  <w:style w:type="character" w:default="1" w:styleId="44">
    <w:name w:val="Default Paragraph Font"/>
    <w:semiHidden/>
    <w:unhideWhenUsed/>
    <w:qFormat/>
    <w:uiPriority w:val="1"/>
  </w:style>
  <w:style w:type="table" w:default="1" w:styleId="42">
    <w:name w:val="Normal Table"/>
    <w:semiHidden/>
    <w:unhideWhenUsed/>
    <w:qFormat/>
    <w:uiPriority w:val="99"/>
    <w:tblPr>
      <w:tblCellMar>
        <w:top w:w="0" w:type="dxa"/>
        <w:left w:w="108" w:type="dxa"/>
        <w:bottom w:w="0" w:type="dxa"/>
        <w:right w:w="108" w:type="dxa"/>
      </w:tblCellMar>
    </w:tblPr>
  </w:style>
  <w:style w:type="paragraph" w:customStyle="1" w:styleId="4">
    <w:name w:val="文档正文"/>
    <w:basedOn w:val="1"/>
    <w:qFormat/>
    <w:uiPriority w:val="99"/>
    <w:pPr>
      <w:adjustRightInd w:val="0"/>
      <w:spacing w:line="480" w:lineRule="atLeast"/>
      <w:ind w:firstLine="567"/>
      <w:textAlignment w:val="baseline"/>
    </w:pPr>
    <w:rPr>
      <w:rFonts w:ascii="仿宋_GB2312" w:eastAsia="仿宋_GB2312"/>
      <w:kern w:val="0"/>
      <w:sz w:val="28"/>
      <w:szCs w:val="20"/>
    </w:rPr>
  </w:style>
  <w:style w:type="paragraph" w:styleId="12">
    <w:name w:val="List 3"/>
    <w:basedOn w:val="1"/>
    <w:qFormat/>
    <w:uiPriority w:val="99"/>
    <w:pPr>
      <w:ind w:left="100" w:leftChars="400" w:hanging="200" w:hangingChars="200"/>
    </w:pPr>
    <w:rPr>
      <w:rFonts w:eastAsia="仿宋_GB2312"/>
      <w:kern w:val="0"/>
      <w:sz w:val="32"/>
      <w:szCs w:val="20"/>
    </w:rPr>
  </w:style>
  <w:style w:type="paragraph" w:styleId="13">
    <w:name w:val="toc 7"/>
    <w:basedOn w:val="1"/>
    <w:next w:val="1"/>
    <w:qFormat/>
    <w:uiPriority w:val="99"/>
    <w:pPr>
      <w:ind w:left="1260"/>
      <w:jc w:val="left"/>
    </w:pPr>
    <w:rPr>
      <w:sz w:val="18"/>
      <w:szCs w:val="18"/>
    </w:rPr>
  </w:style>
  <w:style w:type="paragraph" w:styleId="14">
    <w:name w:val="Document Map"/>
    <w:basedOn w:val="1"/>
    <w:link w:val="57"/>
    <w:qFormat/>
    <w:uiPriority w:val="99"/>
    <w:pPr>
      <w:shd w:val="clear" w:color="auto" w:fill="000080"/>
    </w:pPr>
    <w:rPr>
      <w:rFonts w:ascii="宋体"/>
      <w:kern w:val="0"/>
      <w:sz w:val="18"/>
      <w:szCs w:val="18"/>
    </w:rPr>
  </w:style>
  <w:style w:type="paragraph" w:styleId="15">
    <w:name w:val="annotation text"/>
    <w:basedOn w:val="1"/>
    <w:link w:val="58"/>
    <w:qFormat/>
    <w:uiPriority w:val="99"/>
    <w:pPr>
      <w:jc w:val="left"/>
    </w:pPr>
    <w:rPr>
      <w:kern w:val="0"/>
      <w:sz w:val="24"/>
    </w:rPr>
  </w:style>
  <w:style w:type="paragraph" w:styleId="16">
    <w:name w:val="Body Text 3"/>
    <w:basedOn w:val="1"/>
    <w:link w:val="108"/>
    <w:semiHidden/>
    <w:unhideWhenUsed/>
    <w:qFormat/>
    <w:uiPriority w:val="99"/>
    <w:pPr>
      <w:spacing w:after="120"/>
    </w:pPr>
    <w:rPr>
      <w:sz w:val="16"/>
      <w:szCs w:val="16"/>
    </w:rPr>
  </w:style>
  <w:style w:type="paragraph" w:styleId="17">
    <w:name w:val="Body Text"/>
    <w:basedOn w:val="1"/>
    <w:link w:val="59"/>
    <w:qFormat/>
    <w:uiPriority w:val="99"/>
    <w:pPr>
      <w:spacing w:after="120"/>
    </w:pPr>
    <w:rPr>
      <w:kern w:val="0"/>
      <w:sz w:val="24"/>
    </w:rPr>
  </w:style>
  <w:style w:type="paragraph" w:styleId="18">
    <w:name w:val="Body Text Indent"/>
    <w:basedOn w:val="1"/>
    <w:link w:val="60"/>
    <w:qFormat/>
    <w:uiPriority w:val="99"/>
    <w:pPr>
      <w:tabs>
        <w:tab w:val="left" w:pos="945"/>
        <w:tab w:val="left" w:pos="1155"/>
      </w:tabs>
      <w:ind w:firstLine="435"/>
    </w:pPr>
    <w:rPr>
      <w:kern w:val="0"/>
      <w:sz w:val="24"/>
    </w:rPr>
  </w:style>
  <w:style w:type="paragraph" w:styleId="19">
    <w:name w:val="List 2"/>
    <w:basedOn w:val="1"/>
    <w:qFormat/>
    <w:uiPriority w:val="99"/>
    <w:pPr>
      <w:autoSpaceDE w:val="0"/>
      <w:autoSpaceDN w:val="0"/>
      <w:adjustRightInd w:val="0"/>
      <w:ind w:left="840" w:hanging="420"/>
      <w:jc w:val="left"/>
    </w:pPr>
    <w:rPr>
      <w:rFonts w:ascii="宋体"/>
      <w:kern w:val="0"/>
      <w:sz w:val="20"/>
      <w:szCs w:val="20"/>
    </w:rPr>
  </w:style>
  <w:style w:type="paragraph" w:styleId="20">
    <w:name w:val="toc 5"/>
    <w:basedOn w:val="1"/>
    <w:next w:val="1"/>
    <w:qFormat/>
    <w:uiPriority w:val="99"/>
    <w:pPr>
      <w:ind w:left="840"/>
      <w:jc w:val="left"/>
    </w:pPr>
    <w:rPr>
      <w:sz w:val="18"/>
      <w:szCs w:val="18"/>
    </w:rPr>
  </w:style>
  <w:style w:type="paragraph" w:styleId="21">
    <w:name w:val="toc 3"/>
    <w:basedOn w:val="1"/>
    <w:next w:val="1"/>
    <w:qFormat/>
    <w:uiPriority w:val="99"/>
    <w:pPr>
      <w:ind w:left="420"/>
      <w:jc w:val="left"/>
    </w:pPr>
    <w:rPr>
      <w:i/>
      <w:iCs/>
      <w:sz w:val="20"/>
      <w:szCs w:val="20"/>
    </w:rPr>
  </w:style>
  <w:style w:type="paragraph" w:styleId="22">
    <w:name w:val="Plain Text"/>
    <w:basedOn w:val="1"/>
    <w:link w:val="61"/>
    <w:qFormat/>
    <w:uiPriority w:val="99"/>
    <w:rPr>
      <w:rFonts w:ascii="宋体" w:hAnsi="Courier New"/>
      <w:kern w:val="0"/>
      <w:szCs w:val="21"/>
    </w:rPr>
  </w:style>
  <w:style w:type="paragraph" w:styleId="23">
    <w:name w:val="toc 8"/>
    <w:basedOn w:val="1"/>
    <w:next w:val="1"/>
    <w:qFormat/>
    <w:uiPriority w:val="99"/>
    <w:pPr>
      <w:ind w:left="1470"/>
      <w:jc w:val="left"/>
    </w:pPr>
    <w:rPr>
      <w:sz w:val="18"/>
      <w:szCs w:val="18"/>
    </w:rPr>
  </w:style>
  <w:style w:type="paragraph" w:styleId="24">
    <w:name w:val="Date"/>
    <w:basedOn w:val="1"/>
    <w:next w:val="1"/>
    <w:link w:val="62"/>
    <w:qFormat/>
    <w:uiPriority w:val="99"/>
    <w:rPr>
      <w:kern w:val="0"/>
      <w:sz w:val="24"/>
    </w:rPr>
  </w:style>
  <w:style w:type="paragraph" w:styleId="25">
    <w:name w:val="Body Text Indent 2"/>
    <w:basedOn w:val="1"/>
    <w:link w:val="63"/>
    <w:qFormat/>
    <w:uiPriority w:val="99"/>
    <w:pPr>
      <w:ind w:firstLine="630"/>
    </w:pPr>
    <w:rPr>
      <w:kern w:val="0"/>
      <w:sz w:val="24"/>
    </w:rPr>
  </w:style>
  <w:style w:type="paragraph" w:styleId="26">
    <w:name w:val="Balloon Text"/>
    <w:basedOn w:val="1"/>
    <w:link w:val="64"/>
    <w:qFormat/>
    <w:uiPriority w:val="99"/>
    <w:rPr>
      <w:kern w:val="0"/>
      <w:sz w:val="18"/>
      <w:szCs w:val="18"/>
    </w:rPr>
  </w:style>
  <w:style w:type="paragraph" w:styleId="27">
    <w:name w:val="footer"/>
    <w:basedOn w:val="1"/>
    <w:link w:val="65"/>
    <w:qFormat/>
    <w:uiPriority w:val="99"/>
    <w:pPr>
      <w:tabs>
        <w:tab w:val="center" w:pos="4153"/>
        <w:tab w:val="right" w:pos="8306"/>
      </w:tabs>
      <w:snapToGrid w:val="0"/>
      <w:jc w:val="left"/>
    </w:pPr>
    <w:rPr>
      <w:kern w:val="0"/>
      <w:sz w:val="18"/>
      <w:szCs w:val="18"/>
    </w:rPr>
  </w:style>
  <w:style w:type="paragraph" w:styleId="28">
    <w:name w:val="header"/>
    <w:basedOn w:val="1"/>
    <w:link w:val="66"/>
    <w:qFormat/>
    <w:uiPriority w:val="99"/>
    <w:pPr>
      <w:pBdr>
        <w:bottom w:val="single" w:color="auto" w:sz="6" w:space="1"/>
      </w:pBdr>
      <w:tabs>
        <w:tab w:val="center" w:pos="4153"/>
        <w:tab w:val="right" w:pos="8306"/>
      </w:tabs>
      <w:snapToGrid w:val="0"/>
      <w:jc w:val="center"/>
    </w:pPr>
    <w:rPr>
      <w:kern w:val="0"/>
      <w:sz w:val="18"/>
      <w:szCs w:val="18"/>
    </w:rPr>
  </w:style>
  <w:style w:type="paragraph" w:styleId="29">
    <w:name w:val="toc 1"/>
    <w:basedOn w:val="1"/>
    <w:next w:val="1"/>
    <w:qFormat/>
    <w:uiPriority w:val="99"/>
    <w:pPr>
      <w:spacing w:before="120" w:after="120"/>
      <w:jc w:val="left"/>
    </w:pPr>
    <w:rPr>
      <w:b/>
      <w:bCs/>
      <w:caps/>
      <w:sz w:val="20"/>
      <w:szCs w:val="20"/>
    </w:rPr>
  </w:style>
  <w:style w:type="paragraph" w:styleId="30">
    <w:name w:val="toc 4"/>
    <w:basedOn w:val="1"/>
    <w:next w:val="1"/>
    <w:qFormat/>
    <w:uiPriority w:val="99"/>
    <w:pPr>
      <w:ind w:left="630"/>
      <w:jc w:val="left"/>
    </w:pPr>
    <w:rPr>
      <w:sz w:val="18"/>
      <w:szCs w:val="18"/>
    </w:rPr>
  </w:style>
  <w:style w:type="paragraph" w:styleId="31">
    <w:name w:val="toc 6"/>
    <w:basedOn w:val="1"/>
    <w:next w:val="1"/>
    <w:qFormat/>
    <w:uiPriority w:val="99"/>
    <w:pPr>
      <w:ind w:left="1050"/>
      <w:jc w:val="left"/>
    </w:pPr>
    <w:rPr>
      <w:sz w:val="18"/>
      <w:szCs w:val="18"/>
    </w:rPr>
  </w:style>
  <w:style w:type="paragraph" w:styleId="32">
    <w:name w:val="Body Text Indent 3"/>
    <w:basedOn w:val="1"/>
    <w:link w:val="67"/>
    <w:qFormat/>
    <w:uiPriority w:val="99"/>
    <w:pPr>
      <w:spacing w:line="400" w:lineRule="exact"/>
      <w:ind w:firstLine="480" w:firstLineChars="200"/>
    </w:pPr>
    <w:rPr>
      <w:kern w:val="0"/>
      <w:sz w:val="16"/>
      <w:szCs w:val="16"/>
    </w:rPr>
  </w:style>
  <w:style w:type="paragraph" w:styleId="33">
    <w:name w:val="toc 2"/>
    <w:basedOn w:val="1"/>
    <w:next w:val="1"/>
    <w:qFormat/>
    <w:uiPriority w:val="99"/>
    <w:pPr>
      <w:ind w:left="210"/>
      <w:jc w:val="left"/>
    </w:pPr>
    <w:rPr>
      <w:smallCaps/>
      <w:sz w:val="20"/>
      <w:szCs w:val="20"/>
    </w:rPr>
  </w:style>
  <w:style w:type="paragraph" w:styleId="34">
    <w:name w:val="toc 9"/>
    <w:basedOn w:val="1"/>
    <w:next w:val="1"/>
    <w:qFormat/>
    <w:uiPriority w:val="99"/>
    <w:pPr>
      <w:ind w:left="1680"/>
      <w:jc w:val="left"/>
    </w:pPr>
    <w:rPr>
      <w:sz w:val="18"/>
      <w:szCs w:val="18"/>
    </w:rPr>
  </w:style>
  <w:style w:type="paragraph" w:styleId="35">
    <w:name w:val="Body Text 2"/>
    <w:basedOn w:val="1"/>
    <w:link w:val="68"/>
    <w:qFormat/>
    <w:uiPriority w:val="99"/>
    <w:pPr>
      <w:adjustRightInd w:val="0"/>
      <w:ind w:firstLine="570"/>
    </w:pPr>
    <w:rPr>
      <w:kern w:val="0"/>
      <w:sz w:val="24"/>
    </w:rPr>
  </w:style>
  <w:style w:type="paragraph" w:styleId="36">
    <w:name w:val="List 4"/>
    <w:basedOn w:val="1"/>
    <w:qFormat/>
    <w:uiPriority w:val="99"/>
    <w:pPr>
      <w:ind w:left="1680" w:hanging="420"/>
    </w:pPr>
    <w:rPr>
      <w:rFonts w:eastAsia="楷体_GB2312"/>
      <w:sz w:val="32"/>
      <w:szCs w:val="20"/>
    </w:rPr>
  </w:style>
  <w:style w:type="paragraph" w:styleId="37">
    <w:name w:val="HTML Preformatted"/>
    <w:basedOn w:val="1"/>
    <w:link w:val="69"/>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kern w:val="0"/>
      <w:sz w:val="20"/>
      <w:szCs w:val="20"/>
    </w:rPr>
  </w:style>
  <w:style w:type="paragraph" w:styleId="38">
    <w:name w:val="Normal (Web)"/>
    <w:basedOn w:val="1"/>
    <w:qFormat/>
    <w:uiPriority w:val="99"/>
    <w:pPr>
      <w:widowControl/>
      <w:spacing w:before="100" w:beforeAutospacing="1" w:after="100" w:afterAutospacing="1"/>
      <w:jc w:val="left"/>
    </w:pPr>
    <w:rPr>
      <w:rFonts w:ascii="Arial Unicode MS" w:hAnsi="Arial Unicode MS" w:eastAsia="Arial Unicode MS" w:cs="Arial Unicode MS"/>
      <w:kern w:val="0"/>
      <w:sz w:val="24"/>
    </w:rPr>
  </w:style>
  <w:style w:type="paragraph" w:styleId="39">
    <w:name w:val="annotation subject"/>
    <w:basedOn w:val="15"/>
    <w:next w:val="15"/>
    <w:link w:val="70"/>
    <w:qFormat/>
    <w:uiPriority w:val="99"/>
    <w:rPr>
      <w:b/>
      <w:bCs/>
    </w:rPr>
  </w:style>
  <w:style w:type="paragraph" w:styleId="40">
    <w:name w:val="Body Text First Indent"/>
    <w:basedOn w:val="17"/>
    <w:link w:val="71"/>
    <w:qFormat/>
    <w:uiPriority w:val="99"/>
    <w:pPr>
      <w:ind w:firstLine="420" w:firstLineChars="100"/>
    </w:pPr>
  </w:style>
  <w:style w:type="paragraph" w:styleId="41">
    <w:name w:val="Body Text First Indent 2"/>
    <w:basedOn w:val="18"/>
    <w:link w:val="72"/>
    <w:qFormat/>
    <w:uiPriority w:val="99"/>
    <w:pPr>
      <w:tabs>
        <w:tab w:val="clear" w:pos="945"/>
        <w:tab w:val="clear" w:pos="1155"/>
      </w:tabs>
      <w:autoSpaceDE w:val="0"/>
      <w:autoSpaceDN w:val="0"/>
      <w:adjustRightInd w:val="0"/>
      <w:spacing w:after="120"/>
      <w:ind w:left="420" w:firstLine="210"/>
      <w:jc w:val="left"/>
    </w:pPr>
  </w:style>
  <w:style w:type="table" w:styleId="43">
    <w:name w:val="Table Grid"/>
    <w:basedOn w:val="42"/>
    <w:qFormat/>
    <w:locked/>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5">
    <w:name w:val="page number"/>
    <w:qFormat/>
    <w:uiPriority w:val="99"/>
    <w:rPr>
      <w:rFonts w:cs="Times New Roman"/>
    </w:rPr>
  </w:style>
  <w:style w:type="character" w:styleId="46">
    <w:name w:val="Hyperlink"/>
    <w:qFormat/>
    <w:uiPriority w:val="99"/>
    <w:rPr>
      <w:rFonts w:cs="Times New Roman"/>
      <w:color w:val="0000FF"/>
      <w:u w:val="single"/>
    </w:rPr>
  </w:style>
  <w:style w:type="character" w:styleId="47">
    <w:name w:val="annotation reference"/>
    <w:qFormat/>
    <w:uiPriority w:val="99"/>
    <w:rPr>
      <w:rFonts w:cs="Times New Roman"/>
      <w:sz w:val="21"/>
    </w:rPr>
  </w:style>
  <w:style w:type="character" w:customStyle="1" w:styleId="48">
    <w:name w:val="标题 1 字符"/>
    <w:link w:val="2"/>
    <w:qFormat/>
    <w:locked/>
    <w:uiPriority w:val="99"/>
    <w:rPr>
      <w:rFonts w:ascii="黑体" w:eastAsia="黑体"/>
      <w:kern w:val="44"/>
      <w:sz w:val="32"/>
    </w:rPr>
  </w:style>
  <w:style w:type="character" w:customStyle="1" w:styleId="49">
    <w:name w:val="标题 2 字符"/>
    <w:link w:val="3"/>
    <w:qFormat/>
    <w:locked/>
    <w:uiPriority w:val="99"/>
    <w:rPr>
      <w:rFonts w:ascii="黑体" w:hAnsi="Arial" w:eastAsia="黑体" w:cs="Times New Roman"/>
      <w:sz w:val="28"/>
    </w:rPr>
  </w:style>
  <w:style w:type="character" w:customStyle="1" w:styleId="50">
    <w:name w:val="标题 3 字符"/>
    <w:link w:val="5"/>
    <w:qFormat/>
    <w:locked/>
    <w:uiPriority w:val="99"/>
    <w:rPr>
      <w:rFonts w:ascii="宋体" w:hAnsi="宋体"/>
      <w:b/>
      <w:color w:val="0000FF"/>
      <w:kern w:val="0"/>
      <w:sz w:val="24"/>
      <w:szCs w:val="24"/>
    </w:rPr>
  </w:style>
  <w:style w:type="character" w:customStyle="1" w:styleId="51">
    <w:name w:val="标题 4 字符"/>
    <w:link w:val="6"/>
    <w:qFormat/>
    <w:locked/>
    <w:uiPriority w:val="99"/>
    <w:rPr>
      <w:rFonts w:ascii="Arial" w:hAnsi="Arial" w:eastAsia="黑体" w:cs="Times New Roman"/>
      <w:b/>
      <w:sz w:val="28"/>
    </w:rPr>
  </w:style>
  <w:style w:type="character" w:customStyle="1" w:styleId="52">
    <w:name w:val="标题 5 字符"/>
    <w:link w:val="7"/>
    <w:qFormat/>
    <w:locked/>
    <w:uiPriority w:val="99"/>
    <w:rPr>
      <w:rFonts w:cs="Times New Roman"/>
      <w:b/>
      <w:sz w:val="28"/>
    </w:rPr>
  </w:style>
  <w:style w:type="character" w:customStyle="1" w:styleId="53">
    <w:name w:val="标题 6 字符"/>
    <w:link w:val="8"/>
    <w:qFormat/>
    <w:locked/>
    <w:uiPriority w:val="99"/>
    <w:rPr>
      <w:rFonts w:ascii="Arial" w:hAnsi="Arial" w:eastAsia="黑体" w:cs="Times New Roman"/>
      <w:b/>
      <w:sz w:val="24"/>
    </w:rPr>
  </w:style>
  <w:style w:type="character" w:customStyle="1" w:styleId="54">
    <w:name w:val="标题 7 字符"/>
    <w:link w:val="9"/>
    <w:qFormat/>
    <w:locked/>
    <w:uiPriority w:val="99"/>
    <w:rPr>
      <w:rFonts w:cs="Times New Roman"/>
      <w:b/>
      <w:sz w:val="24"/>
    </w:rPr>
  </w:style>
  <w:style w:type="character" w:customStyle="1" w:styleId="55">
    <w:name w:val="标题 8 字符"/>
    <w:link w:val="10"/>
    <w:qFormat/>
    <w:locked/>
    <w:uiPriority w:val="99"/>
    <w:rPr>
      <w:rFonts w:ascii="Arial" w:hAnsi="Arial" w:eastAsia="黑体" w:cs="Times New Roman"/>
      <w:sz w:val="24"/>
    </w:rPr>
  </w:style>
  <w:style w:type="character" w:customStyle="1" w:styleId="56">
    <w:name w:val="标题 9 字符"/>
    <w:link w:val="11"/>
    <w:qFormat/>
    <w:locked/>
    <w:uiPriority w:val="99"/>
    <w:rPr>
      <w:rFonts w:ascii="Arial" w:hAnsi="Arial" w:eastAsia="黑体" w:cs="Times New Roman"/>
      <w:sz w:val="21"/>
    </w:rPr>
  </w:style>
  <w:style w:type="character" w:customStyle="1" w:styleId="57">
    <w:name w:val="文档结构图 字符"/>
    <w:link w:val="14"/>
    <w:semiHidden/>
    <w:qFormat/>
    <w:locked/>
    <w:uiPriority w:val="99"/>
    <w:rPr>
      <w:rFonts w:ascii="宋体" w:cs="Times New Roman"/>
      <w:sz w:val="18"/>
      <w:szCs w:val="18"/>
    </w:rPr>
  </w:style>
  <w:style w:type="character" w:customStyle="1" w:styleId="58">
    <w:name w:val="批注文字 字符"/>
    <w:link w:val="15"/>
    <w:semiHidden/>
    <w:qFormat/>
    <w:locked/>
    <w:uiPriority w:val="99"/>
    <w:rPr>
      <w:rFonts w:cs="Times New Roman"/>
      <w:sz w:val="24"/>
      <w:szCs w:val="24"/>
    </w:rPr>
  </w:style>
  <w:style w:type="character" w:customStyle="1" w:styleId="59">
    <w:name w:val="正文文本 字符"/>
    <w:link w:val="17"/>
    <w:semiHidden/>
    <w:qFormat/>
    <w:locked/>
    <w:uiPriority w:val="99"/>
    <w:rPr>
      <w:rFonts w:cs="Times New Roman"/>
      <w:sz w:val="24"/>
      <w:szCs w:val="24"/>
    </w:rPr>
  </w:style>
  <w:style w:type="character" w:customStyle="1" w:styleId="60">
    <w:name w:val="正文文本缩进 字符"/>
    <w:link w:val="18"/>
    <w:semiHidden/>
    <w:qFormat/>
    <w:locked/>
    <w:uiPriority w:val="99"/>
    <w:rPr>
      <w:rFonts w:cs="Times New Roman"/>
      <w:sz w:val="24"/>
      <w:szCs w:val="24"/>
    </w:rPr>
  </w:style>
  <w:style w:type="character" w:customStyle="1" w:styleId="61">
    <w:name w:val="纯文本 字符"/>
    <w:link w:val="22"/>
    <w:semiHidden/>
    <w:qFormat/>
    <w:locked/>
    <w:uiPriority w:val="99"/>
    <w:rPr>
      <w:rFonts w:ascii="宋体" w:hAnsi="Courier New" w:cs="Courier New"/>
      <w:sz w:val="21"/>
      <w:szCs w:val="21"/>
    </w:rPr>
  </w:style>
  <w:style w:type="character" w:customStyle="1" w:styleId="62">
    <w:name w:val="日期 字符"/>
    <w:link w:val="24"/>
    <w:semiHidden/>
    <w:qFormat/>
    <w:locked/>
    <w:uiPriority w:val="99"/>
    <w:rPr>
      <w:rFonts w:cs="Times New Roman"/>
      <w:sz w:val="24"/>
      <w:szCs w:val="24"/>
    </w:rPr>
  </w:style>
  <w:style w:type="character" w:customStyle="1" w:styleId="63">
    <w:name w:val="正文文本缩进 2 字符"/>
    <w:link w:val="25"/>
    <w:semiHidden/>
    <w:qFormat/>
    <w:locked/>
    <w:uiPriority w:val="99"/>
    <w:rPr>
      <w:rFonts w:cs="Times New Roman"/>
      <w:sz w:val="24"/>
      <w:szCs w:val="24"/>
    </w:rPr>
  </w:style>
  <w:style w:type="character" w:customStyle="1" w:styleId="64">
    <w:name w:val="批注框文本 字符"/>
    <w:link w:val="26"/>
    <w:semiHidden/>
    <w:qFormat/>
    <w:locked/>
    <w:uiPriority w:val="99"/>
    <w:rPr>
      <w:rFonts w:cs="Times New Roman"/>
      <w:sz w:val="18"/>
      <w:szCs w:val="18"/>
    </w:rPr>
  </w:style>
  <w:style w:type="character" w:customStyle="1" w:styleId="65">
    <w:name w:val="页脚 字符"/>
    <w:link w:val="27"/>
    <w:semiHidden/>
    <w:qFormat/>
    <w:locked/>
    <w:uiPriority w:val="99"/>
    <w:rPr>
      <w:rFonts w:cs="Times New Roman"/>
      <w:sz w:val="18"/>
      <w:szCs w:val="18"/>
    </w:rPr>
  </w:style>
  <w:style w:type="character" w:customStyle="1" w:styleId="66">
    <w:name w:val="页眉 字符"/>
    <w:link w:val="28"/>
    <w:semiHidden/>
    <w:qFormat/>
    <w:locked/>
    <w:uiPriority w:val="99"/>
    <w:rPr>
      <w:rFonts w:cs="Times New Roman"/>
      <w:sz w:val="18"/>
      <w:szCs w:val="18"/>
    </w:rPr>
  </w:style>
  <w:style w:type="character" w:customStyle="1" w:styleId="67">
    <w:name w:val="正文文本缩进 3 字符"/>
    <w:link w:val="32"/>
    <w:semiHidden/>
    <w:qFormat/>
    <w:locked/>
    <w:uiPriority w:val="99"/>
    <w:rPr>
      <w:rFonts w:cs="Times New Roman"/>
      <w:sz w:val="16"/>
      <w:szCs w:val="16"/>
    </w:rPr>
  </w:style>
  <w:style w:type="character" w:customStyle="1" w:styleId="68">
    <w:name w:val="正文文本 2 字符"/>
    <w:link w:val="35"/>
    <w:semiHidden/>
    <w:qFormat/>
    <w:locked/>
    <w:uiPriority w:val="99"/>
    <w:rPr>
      <w:rFonts w:cs="Times New Roman"/>
      <w:sz w:val="24"/>
      <w:szCs w:val="24"/>
    </w:rPr>
  </w:style>
  <w:style w:type="character" w:customStyle="1" w:styleId="69">
    <w:name w:val="HTML 预设格式 字符"/>
    <w:link w:val="37"/>
    <w:semiHidden/>
    <w:qFormat/>
    <w:locked/>
    <w:uiPriority w:val="99"/>
    <w:rPr>
      <w:rFonts w:ascii="Courier New" w:hAnsi="Courier New" w:cs="Courier New"/>
      <w:sz w:val="20"/>
      <w:szCs w:val="20"/>
    </w:rPr>
  </w:style>
  <w:style w:type="character" w:customStyle="1" w:styleId="70">
    <w:name w:val="批注主题 字符"/>
    <w:link w:val="39"/>
    <w:semiHidden/>
    <w:qFormat/>
    <w:locked/>
    <w:uiPriority w:val="99"/>
    <w:rPr>
      <w:rFonts w:cs="Times New Roman"/>
      <w:b/>
      <w:bCs/>
      <w:sz w:val="24"/>
      <w:szCs w:val="24"/>
    </w:rPr>
  </w:style>
  <w:style w:type="character" w:customStyle="1" w:styleId="71">
    <w:name w:val="正文文本首行缩进 字符"/>
    <w:link w:val="40"/>
    <w:semiHidden/>
    <w:qFormat/>
    <w:locked/>
    <w:uiPriority w:val="99"/>
    <w:rPr>
      <w:rFonts w:cs="Times New Roman"/>
      <w:sz w:val="24"/>
      <w:szCs w:val="24"/>
    </w:rPr>
  </w:style>
  <w:style w:type="character" w:customStyle="1" w:styleId="72">
    <w:name w:val="正文文本首行缩进 2 字符"/>
    <w:link w:val="41"/>
    <w:semiHidden/>
    <w:qFormat/>
    <w:locked/>
    <w:uiPriority w:val="99"/>
    <w:rPr>
      <w:rFonts w:cs="Times New Roman"/>
      <w:sz w:val="24"/>
      <w:szCs w:val="24"/>
    </w:rPr>
  </w:style>
  <w:style w:type="paragraph" w:customStyle="1" w:styleId="73">
    <w:name w:val="正式文本"/>
    <w:basedOn w:val="1"/>
    <w:qFormat/>
    <w:uiPriority w:val="99"/>
    <w:pPr>
      <w:spacing w:line="500" w:lineRule="exact"/>
      <w:ind w:firstLine="200" w:firstLineChars="200"/>
    </w:pPr>
    <w:rPr>
      <w:rFonts w:ascii="Arial Narrow" w:hAnsi="Arial Narrow" w:eastAsia="汉鼎简书宋"/>
      <w:sz w:val="24"/>
    </w:rPr>
  </w:style>
  <w:style w:type="character" w:customStyle="1" w:styleId="74">
    <w:name w:val="textcontents"/>
    <w:qFormat/>
    <w:uiPriority w:val="99"/>
    <w:rPr>
      <w:rFonts w:cs="Times New Roman"/>
    </w:rPr>
  </w:style>
  <w:style w:type="character" w:customStyle="1" w:styleId="75">
    <w:name w:val="apple-style-span"/>
    <w:qFormat/>
    <w:uiPriority w:val="99"/>
    <w:rPr>
      <w:rFonts w:cs="Times New Roman"/>
    </w:rPr>
  </w:style>
  <w:style w:type="character" w:customStyle="1" w:styleId="76">
    <w:name w:val="纯文本 Char1"/>
    <w:semiHidden/>
    <w:qFormat/>
    <w:uiPriority w:val="99"/>
    <w:rPr>
      <w:rFonts w:ascii="宋体" w:hAnsi="Courier New" w:eastAsia="宋体"/>
      <w:sz w:val="21"/>
    </w:rPr>
  </w:style>
  <w:style w:type="paragraph" w:customStyle="1" w:styleId="77">
    <w:name w:val="1 Char"/>
    <w:basedOn w:val="1"/>
    <w:qFormat/>
    <w:uiPriority w:val="99"/>
    <w:rPr>
      <w:rFonts w:ascii="Tahoma" w:hAnsi="Tahoma"/>
      <w:sz w:val="24"/>
      <w:szCs w:val="20"/>
    </w:rPr>
  </w:style>
  <w:style w:type="character" w:customStyle="1" w:styleId="78">
    <w:name w:val="无间隔 字符"/>
    <w:link w:val="79"/>
    <w:qFormat/>
    <w:locked/>
    <w:uiPriority w:val="99"/>
    <w:rPr>
      <w:rFonts w:ascii="Calibri" w:hAnsi="Calibri"/>
      <w:sz w:val="22"/>
      <w:szCs w:val="22"/>
      <w:lang w:val="en-US" w:eastAsia="zh-CN" w:bidi="ar-SA"/>
    </w:rPr>
  </w:style>
  <w:style w:type="paragraph" w:styleId="79">
    <w:name w:val="No Spacing"/>
    <w:link w:val="78"/>
    <w:qFormat/>
    <w:uiPriority w:val="99"/>
    <w:rPr>
      <w:rFonts w:ascii="Calibri" w:hAnsi="Calibri" w:eastAsia="宋体" w:cs="Times New Roman"/>
      <w:sz w:val="22"/>
      <w:szCs w:val="22"/>
      <w:lang w:val="en-US" w:eastAsia="zh-CN" w:bidi="ar-SA"/>
    </w:rPr>
  </w:style>
  <w:style w:type="paragraph" w:customStyle="1" w:styleId="80">
    <w:name w:val="Char1"/>
    <w:basedOn w:val="1"/>
    <w:qFormat/>
    <w:uiPriority w:val="99"/>
    <w:pPr>
      <w:widowControl/>
      <w:spacing w:after="160" w:line="240" w:lineRule="exact"/>
      <w:jc w:val="left"/>
    </w:pPr>
    <w:rPr>
      <w:rFonts w:ascii="宋体" w:hAnsi="宋体"/>
      <w:kern w:val="0"/>
      <w:sz w:val="20"/>
      <w:szCs w:val="20"/>
      <w:lang w:eastAsia="en-US"/>
    </w:rPr>
  </w:style>
  <w:style w:type="paragraph" w:customStyle="1" w:styleId="81">
    <w:name w:val="xl26"/>
    <w:basedOn w:val="1"/>
    <w:qFormat/>
    <w:uiPriority w:val="99"/>
    <w:pPr>
      <w:widowControl/>
      <w:spacing w:before="100" w:beforeAutospacing="1" w:after="100" w:afterAutospacing="1"/>
      <w:jc w:val="center"/>
      <w:textAlignment w:val="center"/>
    </w:pPr>
    <w:rPr>
      <w:rFonts w:ascii="Arial Unicode MS" w:hAnsi="Arial Unicode MS" w:eastAsia="Arial Unicode MS" w:cs="Arial Unicode MS"/>
      <w:kern w:val="0"/>
      <w:sz w:val="32"/>
      <w:szCs w:val="32"/>
    </w:rPr>
  </w:style>
  <w:style w:type="paragraph" w:customStyle="1" w:styleId="82">
    <w:name w:val="封面标准名称"/>
    <w:qFormat/>
    <w:uiPriority w:val="99"/>
    <w:pPr>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83">
    <w:name w:val="正文 New New New New"/>
    <w:qFormat/>
    <w:uiPriority w:val="99"/>
    <w:pPr>
      <w:widowControl w:val="0"/>
      <w:jc w:val="both"/>
    </w:pPr>
    <w:rPr>
      <w:rFonts w:ascii="Times New Roman" w:hAnsi="Times New Roman" w:eastAsia="宋体" w:cs="宋体"/>
      <w:kern w:val="2"/>
      <w:sz w:val="21"/>
      <w:szCs w:val="21"/>
      <w:lang w:val="en-US" w:eastAsia="zh-CN" w:bidi="ar-SA"/>
    </w:rPr>
  </w:style>
  <w:style w:type="paragraph" w:customStyle="1" w:styleId="84">
    <w:name w:val="一级标题a"/>
    <w:basedOn w:val="1"/>
    <w:next w:val="1"/>
    <w:qFormat/>
    <w:uiPriority w:val="99"/>
    <w:pPr>
      <w:spacing w:line="400" w:lineRule="atLeast"/>
      <w:ind w:firstLine="200" w:firstLineChars="200"/>
      <w:jc w:val="center"/>
      <w:outlineLvl w:val="0"/>
    </w:pPr>
    <w:rPr>
      <w:rFonts w:ascii="宋体" w:hAnsi="宋体"/>
      <w:b/>
      <w:sz w:val="44"/>
      <w:szCs w:val="20"/>
    </w:rPr>
  </w:style>
  <w:style w:type="paragraph" w:customStyle="1" w:styleId="85">
    <w:name w:val="Arial 小三 加粗 段前: 7.8 磅 + 首行缩进:  2 字符 + 首行缩进:  2 字符 段前: 0.2 行"/>
    <w:basedOn w:val="1"/>
    <w:next w:val="1"/>
    <w:qFormat/>
    <w:uiPriority w:val="99"/>
    <w:pPr>
      <w:spacing w:beforeLines="20"/>
      <w:ind w:firstLine="200" w:firstLineChars="200"/>
      <w:outlineLvl w:val="1"/>
    </w:pPr>
    <w:rPr>
      <w:rFonts w:ascii="Arial" w:hAnsi="Arial" w:eastAsia="仿宋_GB2312"/>
      <w:b/>
      <w:sz w:val="30"/>
      <w:szCs w:val="20"/>
    </w:rPr>
  </w:style>
  <w:style w:type="paragraph" w:customStyle="1" w:styleId="86">
    <w:name w:val="Char"/>
    <w:basedOn w:val="1"/>
    <w:qFormat/>
    <w:uiPriority w:val="99"/>
    <w:pPr>
      <w:snapToGrid w:val="0"/>
      <w:spacing w:line="360" w:lineRule="auto"/>
      <w:ind w:firstLine="200" w:firstLineChars="200"/>
    </w:pPr>
    <w:rPr>
      <w:rFonts w:eastAsia="仿宋_GB2312"/>
      <w:sz w:val="24"/>
      <w:szCs w:val="28"/>
    </w:rPr>
  </w:style>
  <w:style w:type="paragraph" w:styleId="87">
    <w:name w:val="List Paragraph"/>
    <w:basedOn w:val="1"/>
    <w:qFormat/>
    <w:uiPriority w:val="99"/>
    <w:pPr>
      <w:ind w:firstLine="420" w:firstLineChars="200"/>
    </w:pPr>
    <w:rPr>
      <w:rFonts w:ascii="Calibri" w:hAnsi="Calibri"/>
      <w:szCs w:val="22"/>
    </w:rPr>
  </w:style>
  <w:style w:type="paragraph" w:customStyle="1" w:styleId="88">
    <w:name w:val="样式3"/>
    <w:basedOn w:val="22"/>
    <w:qFormat/>
    <w:uiPriority w:val="99"/>
    <w:pPr>
      <w:spacing w:line="240" w:lineRule="atLeast"/>
      <w:outlineLvl w:val="0"/>
    </w:pPr>
    <w:rPr>
      <w:sz w:val="28"/>
    </w:rPr>
  </w:style>
  <w:style w:type="paragraph" w:customStyle="1" w:styleId="89">
    <w:name w:val="正文 New New New"/>
    <w:qFormat/>
    <w:uiPriority w:val="99"/>
    <w:pPr>
      <w:widowControl w:val="0"/>
      <w:jc w:val="both"/>
    </w:pPr>
    <w:rPr>
      <w:rFonts w:ascii="Times New Roman" w:hAnsi="Times New Roman" w:eastAsia="宋体" w:cs="宋体"/>
      <w:kern w:val="2"/>
      <w:sz w:val="21"/>
      <w:szCs w:val="21"/>
      <w:lang w:val="en-US" w:eastAsia="zh-CN" w:bidi="ar-SA"/>
    </w:rPr>
  </w:style>
  <w:style w:type="paragraph" w:customStyle="1" w:styleId="90">
    <w:name w:val="1.1.1.1A-1"/>
    <w:basedOn w:val="91"/>
    <w:qFormat/>
    <w:uiPriority w:val="99"/>
    <w:pPr>
      <w:tabs>
        <w:tab w:val="left" w:pos="1843"/>
        <w:tab w:val="left" w:pos="1985"/>
        <w:tab w:val="left" w:pos="26875"/>
      </w:tabs>
      <w:ind w:left="1985" w:hanging="425"/>
    </w:pPr>
  </w:style>
  <w:style w:type="paragraph" w:customStyle="1" w:styleId="91">
    <w:name w:val="1.1.1.1A"/>
    <w:basedOn w:val="92"/>
    <w:qFormat/>
    <w:uiPriority w:val="99"/>
    <w:pPr>
      <w:tabs>
        <w:tab w:val="left" w:pos="1843"/>
        <w:tab w:val="left" w:pos="26875"/>
      </w:tabs>
      <w:ind w:left="1560" w:hanging="426"/>
    </w:pPr>
  </w:style>
  <w:style w:type="paragraph" w:customStyle="1" w:styleId="92">
    <w:name w:val="1.1.1.1"/>
    <w:basedOn w:val="1"/>
    <w:qFormat/>
    <w:uiPriority w:val="99"/>
    <w:pPr>
      <w:tabs>
        <w:tab w:val="left" w:pos="26875"/>
      </w:tabs>
      <w:autoSpaceDE w:val="0"/>
      <w:autoSpaceDN w:val="0"/>
      <w:adjustRightInd w:val="0"/>
      <w:spacing w:before="60" w:after="60" w:line="360" w:lineRule="atLeast"/>
      <w:ind w:left="1134" w:hanging="1134"/>
    </w:pPr>
    <w:rPr>
      <w:rFonts w:ascii="宋体"/>
      <w:kern w:val="0"/>
      <w:sz w:val="24"/>
      <w:szCs w:val="20"/>
    </w:rPr>
  </w:style>
  <w:style w:type="paragraph" w:customStyle="1" w:styleId="93">
    <w:name w:val="正文 New New New New New"/>
    <w:qFormat/>
    <w:uiPriority w:val="99"/>
    <w:pPr>
      <w:widowControl w:val="0"/>
      <w:jc w:val="both"/>
    </w:pPr>
    <w:rPr>
      <w:rFonts w:ascii="Times New Roman" w:hAnsi="Times New Roman" w:eastAsia="宋体" w:cs="宋体"/>
      <w:b/>
      <w:bCs/>
      <w:kern w:val="2"/>
      <w:sz w:val="30"/>
      <w:szCs w:val="30"/>
      <w:lang w:val="en-US" w:eastAsia="zh-CN" w:bidi="ar-SA"/>
    </w:rPr>
  </w:style>
  <w:style w:type="paragraph" w:customStyle="1" w:styleId="94">
    <w:name w:val="正文缩进 New"/>
    <w:basedOn w:val="93"/>
    <w:qFormat/>
    <w:uiPriority w:val="99"/>
    <w:pPr>
      <w:ind w:firstLine="420"/>
    </w:pPr>
    <w:rPr>
      <w:b w:val="0"/>
      <w:bCs w:val="0"/>
      <w:sz w:val="21"/>
      <w:szCs w:val="21"/>
    </w:rPr>
  </w:style>
  <w:style w:type="paragraph" w:customStyle="1" w:styleId="95">
    <w:name w:val="普通(网站)1"/>
    <w:basedOn w:val="1"/>
    <w:qFormat/>
    <w:uiPriority w:val="99"/>
    <w:pPr>
      <w:widowControl/>
      <w:spacing w:before="100" w:beforeAutospacing="1" w:after="100" w:afterAutospacing="1"/>
      <w:jc w:val="left"/>
    </w:pPr>
    <w:rPr>
      <w:rFonts w:ascii="宋体" w:hAnsi="宋体" w:cs="宋体"/>
      <w:sz w:val="24"/>
    </w:rPr>
  </w:style>
  <w:style w:type="paragraph" w:customStyle="1" w:styleId="96">
    <w:name w:val="Char Char Char Char1"/>
    <w:basedOn w:val="14"/>
    <w:qFormat/>
    <w:uiPriority w:val="99"/>
  </w:style>
  <w:style w:type="paragraph" w:customStyle="1" w:styleId="97">
    <w:name w:val="Char2"/>
    <w:basedOn w:val="1"/>
    <w:qFormat/>
    <w:uiPriority w:val="99"/>
    <w:pPr>
      <w:spacing w:line="360" w:lineRule="auto"/>
      <w:ind w:firstLine="200" w:firstLineChars="200"/>
    </w:pPr>
    <w:rPr>
      <w:rFonts w:ascii="Tahoma" w:hAnsi="Tahoma"/>
      <w:sz w:val="24"/>
      <w:szCs w:val="20"/>
    </w:rPr>
  </w:style>
  <w:style w:type="paragraph" w:customStyle="1" w:styleId="98">
    <w:name w:val="表格"/>
    <w:qFormat/>
    <w:uiPriority w:val="99"/>
    <w:pPr>
      <w:widowControl w:val="0"/>
      <w:adjustRightInd w:val="0"/>
      <w:snapToGrid w:val="0"/>
      <w:ind w:left="2" w:leftChars="1" w:right="113"/>
      <w:jc w:val="both"/>
    </w:pPr>
    <w:rPr>
      <w:rFonts w:ascii="Ari" w:hAnsi="Ari" w:eastAsia="宋体" w:cs="Times New Roman"/>
      <w:sz w:val="24"/>
      <w:szCs w:val="24"/>
      <w:lang w:val="en-US" w:eastAsia="zh-CN" w:bidi="ar-SA"/>
    </w:rPr>
  </w:style>
  <w:style w:type="paragraph" w:customStyle="1" w:styleId="99">
    <w:name w:val="Default"/>
    <w:qFormat/>
    <w:uiPriority w:val="99"/>
    <w:pPr>
      <w:widowControl w:val="0"/>
      <w:autoSpaceDE w:val="0"/>
      <w:autoSpaceDN w:val="0"/>
      <w:adjustRightInd w:val="0"/>
    </w:pPr>
    <w:rPr>
      <w:rFonts w:ascii="黑体" w:hAnsi="Times New Roman" w:eastAsia="黑体" w:cs="Times New Roman"/>
      <w:lang w:val="en-US" w:eastAsia="zh-CN" w:bidi="ar-SA"/>
    </w:rPr>
  </w:style>
  <w:style w:type="paragraph" w:customStyle="1" w:styleId="100">
    <w:name w:val="p0"/>
    <w:basedOn w:val="1"/>
    <w:qFormat/>
    <w:uiPriority w:val="99"/>
    <w:pPr>
      <w:widowControl/>
    </w:pPr>
    <w:rPr>
      <w:kern w:val="0"/>
      <w:szCs w:val="21"/>
    </w:rPr>
  </w:style>
  <w:style w:type="paragraph" w:customStyle="1" w:styleId="101">
    <w:name w:val="Char Char Char Char"/>
    <w:basedOn w:val="1"/>
    <w:qFormat/>
    <w:uiPriority w:val="99"/>
    <w:rPr>
      <w:rFonts w:ascii="Tahoma" w:hAnsi="Tahoma"/>
      <w:sz w:val="24"/>
      <w:szCs w:val="20"/>
    </w:rPr>
  </w:style>
  <w:style w:type="paragraph" w:customStyle="1" w:styleId="102">
    <w:name w:val="Char Char Char1 Char"/>
    <w:basedOn w:val="1"/>
    <w:qFormat/>
    <w:uiPriority w:val="99"/>
    <w:pPr>
      <w:spacing w:line="312" w:lineRule="atLeast"/>
      <w:textAlignment w:val="baseline"/>
    </w:pPr>
    <w:rPr>
      <w:rFonts w:cs="宋体"/>
      <w:szCs w:val="21"/>
    </w:rPr>
  </w:style>
  <w:style w:type="paragraph" w:customStyle="1" w:styleId="103">
    <w:name w:val="默认段落字体 Para Char"/>
    <w:basedOn w:val="1"/>
    <w:qFormat/>
    <w:uiPriority w:val="99"/>
    <w:pPr>
      <w:spacing w:line="360" w:lineRule="auto"/>
      <w:ind w:firstLine="200" w:firstLineChars="200"/>
    </w:pPr>
    <w:rPr>
      <w:rFonts w:cs="宋体"/>
      <w:szCs w:val="21"/>
    </w:rPr>
  </w:style>
  <w:style w:type="paragraph" w:customStyle="1" w:styleId="104">
    <w:name w:val="正文 New"/>
    <w:qFormat/>
    <w:uiPriority w:val="99"/>
    <w:pPr>
      <w:widowControl w:val="0"/>
      <w:jc w:val="both"/>
    </w:pPr>
    <w:rPr>
      <w:rFonts w:ascii="Times New Roman" w:hAnsi="Times New Roman" w:eastAsia="宋体" w:cs="宋体"/>
      <w:kern w:val="2"/>
      <w:sz w:val="21"/>
      <w:szCs w:val="21"/>
      <w:lang w:val="en-US" w:eastAsia="zh-CN" w:bidi="ar-SA"/>
    </w:rPr>
  </w:style>
  <w:style w:type="paragraph" w:customStyle="1" w:styleId="105">
    <w:name w:val="cntrt"/>
    <w:basedOn w:val="1"/>
    <w:qFormat/>
    <w:uiPriority w:val="99"/>
    <w:pPr>
      <w:widowControl/>
      <w:jc w:val="left"/>
    </w:pPr>
    <w:rPr>
      <w:rFonts w:ascii="Arial" w:hAnsi="Arial" w:cs="Arial"/>
      <w:kern w:val="0"/>
      <w:sz w:val="20"/>
      <w:szCs w:val="20"/>
      <w:lang w:val="en-AU"/>
    </w:rPr>
  </w:style>
  <w:style w:type="paragraph" w:customStyle="1" w:styleId="106">
    <w:name w:val="正文 New New"/>
    <w:qFormat/>
    <w:uiPriority w:val="99"/>
    <w:pPr>
      <w:widowControl w:val="0"/>
      <w:jc w:val="both"/>
    </w:pPr>
    <w:rPr>
      <w:rFonts w:ascii="Times New Roman" w:hAnsi="Times New Roman" w:eastAsia="宋体" w:cs="宋体"/>
      <w:b/>
      <w:bCs/>
      <w:kern w:val="2"/>
      <w:sz w:val="30"/>
      <w:szCs w:val="30"/>
      <w:lang w:val="en-US" w:eastAsia="zh-CN" w:bidi="ar-SA"/>
    </w:rPr>
  </w:style>
  <w:style w:type="table" w:customStyle="1" w:styleId="107">
    <w:name w:val="网格型11"/>
    <w:basedOn w:val="4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8">
    <w:name w:val="正文文本 3 字符"/>
    <w:basedOn w:val="44"/>
    <w:link w:val="16"/>
    <w:semiHidden/>
    <w:qFormat/>
    <w:uiPriority w:val="99"/>
    <w:rPr>
      <w:kern w:val="2"/>
      <w:sz w:val="16"/>
      <w:szCs w:val="16"/>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番茄花园</Company>
  <Pages>9</Pages>
  <Words>3124</Words>
  <Characters>3151</Characters>
  <Lines>25</Lines>
  <Paragraphs>7</Paragraphs>
  <TotalTime>0</TotalTime>
  <ScaleCrop>false</ScaleCrop>
  <LinksUpToDate>false</LinksUpToDate>
  <CharactersWithSpaces>3480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2025-02-15T04:33:00Z</dcterms:created>
  <dc:creator>番茄花园</dc:creator>
  <cp:lastModifiedBy>三三三三</cp:lastModifiedBy>
  <cp:lastPrinted>2024-02-02T08:59:00Z</cp:lastPrinted>
  <dcterms:modified xsi:type="dcterms:W3CDTF">2025-03-12T00:11:52Z</dcterms:modified>
  <dc:title>目   录</dc:title>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72BD9A79C51147CBAC52B10D40A7E76A_13</vt:lpwstr>
  </property>
  <property fmtid="{D5CDD505-2E9C-101B-9397-08002B2CF9AE}" pid="4" name="KSOTemplateDocerSaveRecord">
    <vt:lpwstr>eyJoZGlkIjoiZGExODg1M2QyODQ5NWM3NDM2ZWVlZTEyOThlMjBjOWMiLCJ1c2VySWQiOiI0NDM2OTk1OTMifQ==</vt:lpwstr>
  </property>
</Properties>
</file>