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仿宋_GB2312" w:hAnsi="宋体" w:eastAsia="仿宋_GB2312"/>
          <w:kern w:val="0"/>
          <w:sz w:val="32"/>
          <w:szCs w:val="32"/>
        </w:rPr>
      </w:pPr>
      <w:r>
        <w:rPr>
          <w:rFonts w:hint="eastAsia" w:ascii="方正小标宋简体" w:hAnsi="方正小标宋简体" w:eastAsia="方正小标宋简体" w:cs="方正小标宋简体"/>
          <w:b/>
          <w:spacing w:val="-17"/>
          <w:kern w:val="0"/>
          <w:sz w:val="44"/>
          <w:szCs w:val="44"/>
        </w:rPr>
        <w:t>义煤公司“揭榜挂帅”科技项目榜单公告内容</w:t>
      </w:r>
    </w:p>
    <w:p>
      <w:pPr>
        <w:widowControl/>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一、榜单名称</w:t>
      </w:r>
    </w:p>
    <w:p>
      <w:pPr>
        <w:widowControl/>
        <w:spacing w:line="360" w:lineRule="auto"/>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项目名称：</w:t>
      </w:r>
      <w:r>
        <w:rPr>
          <w:rFonts w:hint="eastAsia" w:ascii="仿宋" w:hAnsi="仿宋" w:eastAsia="仿宋" w:cs="仿宋"/>
          <w:kern w:val="0"/>
          <w:sz w:val="32"/>
          <w:szCs w:val="32"/>
        </w:rPr>
        <w:t>全断面隧道掘进机（TBM）在新安煤田的研究与应用</w:t>
      </w:r>
    </w:p>
    <w:p>
      <w:pPr>
        <w:widowControl/>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二、需求目标</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1.岩巷单进水平进一步提升。TBM掘进机直巷月单进水平稳定在300m及以上,转弯巷道月单进水平稳定在直巷150m。</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2.有效缓解采掘接替。引进TBM掘进机后，底板岩巷单进水平进一步提升，灾害治理时间及空间将有充足保障，底板岩巷制约矿井接替的局面得到彻底扭转。</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3.有效缓解一线队伍缺员问题。引进TBM掘进机后，底板岩巷掘进队伍可减少2个，多余人员一部分可补充到其他缺员的一线队伍、灾害治理队伍中。</w:t>
      </w:r>
    </w:p>
    <w:p>
      <w:pPr>
        <w:widowControl/>
        <w:spacing w:line="360" w:lineRule="auto"/>
        <w:ind w:firstLine="643" w:firstLineChars="200"/>
        <w:jc w:val="left"/>
        <w:rPr>
          <w:rFonts w:ascii="仿宋" w:hAnsi="仿宋" w:eastAsia="仿宋" w:cs="仿宋"/>
          <w:b/>
          <w:bCs/>
          <w:kern w:val="0"/>
          <w:sz w:val="32"/>
          <w:szCs w:val="32"/>
        </w:rPr>
      </w:pPr>
      <w:r>
        <w:rPr>
          <w:rFonts w:hint="eastAsia" w:ascii="仿宋" w:hAnsi="仿宋" w:eastAsia="仿宋" w:cs="仿宋"/>
          <w:b/>
          <w:bCs/>
          <w:kern w:val="0"/>
          <w:sz w:val="32"/>
          <w:szCs w:val="32"/>
        </w:rPr>
        <w:t>三、考核指标</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）2024年09月—2024年1</w:t>
      </w:r>
      <w:r>
        <w:rPr>
          <w:rFonts w:ascii="仿宋" w:hAnsi="仿宋" w:eastAsia="仿宋" w:cs="仿宋"/>
          <w:kern w:val="0"/>
          <w:sz w:val="32"/>
          <w:szCs w:val="32"/>
        </w:rPr>
        <w:t>1</w:t>
      </w:r>
      <w:r>
        <w:rPr>
          <w:rFonts w:hint="eastAsia" w:ascii="仿宋" w:hAnsi="仿宋" w:eastAsia="仿宋" w:cs="仿宋"/>
          <w:kern w:val="0"/>
          <w:sz w:val="32"/>
          <w:szCs w:val="32"/>
        </w:rPr>
        <w:t>月</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制定项目专班实施方案</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根据实施方案，按照时间节点逐系统实施；施工安装、始发硐室、配套排矸系统等工程。</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）2024年1</w:t>
      </w:r>
      <w:r>
        <w:rPr>
          <w:rFonts w:ascii="仿宋" w:hAnsi="仿宋" w:eastAsia="仿宋" w:cs="仿宋"/>
          <w:kern w:val="0"/>
          <w:sz w:val="32"/>
          <w:szCs w:val="32"/>
        </w:rPr>
        <w:t>2</w:t>
      </w:r>
      <w:r>
        <w:rPr>
          <w:rFonts w:hint="eastAsia" w:ascii="仿宋" w:hAnsi="仿宋" w:eastAsia="仿宋" w:cs="仿宋"/>
          <w:kern w:val="0"/>
          <w:sz w:val="32"/>
          <w:szCs w:val="32"/>
        </w:rPr>
        <w:t>月—202</w:t>
      </w:r>
      <w:r>
        <w:rPr>
          <w:rFonts w:ascii="仿宋" w:hAnsi="仿宋" w:eastAsia="仿宋" w:cs="仿宋"/>
          <w:kern w:val="0"/>
          <w:sz w:val="32"/>
          <w:szCs w:val="32"/>
        </w:rPr>
        <w:t>5</w:t>
      </w:r>
      <w:r>
        <w:rPr>
          <w:rFonts w:hint="eastAsia" w:ascii="仿宋" w:hAnsi="仿宋" w:eastAsia="仿宋" w:cs="仿宋"/>
          <w:kern w:val="0"/>
          <w:sz w:val="32"/>
          <w:szCs w:val="32"/>
        </w:rPr>
        <w:t>年1月</w:t>
      </w:r>
    </w:p>
    <w:p>
      <w:pPr>
        <w:pStyle w:val="2"/>
        <w:spacing w:line="360" w:lineRule="auto"/>
        <w:ind w:left="0" w:leftChars="0" w:firstLine="640" w:firstLineChars="200"/>
        <w:rPr>
          <w:rFonts w:ascii="仿宋" w:hAnsi="仿宋" w:eastAsia="仿宋" w:cs="仿宋"/>
          <w:kern w:val="0"/>
          <w:sz w:val="32"/>
          <w:szCs w:val="32"/>
        </w:rPr>
      </w:pPr>
      <w:r>
        <w:rPr>
          <w:rFonts w:hint="eastAsia" w:ascii="仿宋" w:hAnsi="仿宋" w:eastAsia="仿宋" w:cs="仿宋"/>
          <w:kern w:val="0"/>
          <w:sz w:val="32"/>
          <w:szCs w:val="32"/>
        </w:rPr>
        <w:t>设备安装试运行。</w:t>
      </w:r>
    </w:p>
    <w:p>
      <w:pPr>
        <w:pStyle w:val="2"/>
        <w:spacing w:line="360" w:lineRule="auto"/>
        <w:ind w:left="0" w:leftChars="0" w:firstLine="640" w:firstLineChars="200"/>
        <w:rPr>
          <w:rFonts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w:t>
      </w:r>
      <w:r>
        <w:rPr>
          <w:rFonts w:ascii="仿宋" w:hAnsi="仿宋" w:eastAsia="仿宋" w:cs="仿宋"/>
          <w:kern w:val="0"/>
          <w:sz w:val="32"/>
          <w:szCs w:val="32"/>
        </w:rPr>
        <w:t>2025</w:t>
      </w:r>
      <w:r>
        <w:rPr>
          <w:rFonts w:hint="eastAsia" w:ascii="仿宋" w:hAnsi="仿宋" w:eastAsia="仿宋" w:cs="仿宋"/>
          <w:kern w:val="0"/>
          <w:sz w:val="32"/>
          <w:szCs w:val="32"/>
        </w:rPr>
        <w:t>年2月</w:t>
      </w:r>
      <w:r>
        <w:rPr>
          <w:rFonts w:ascii="仿宋" w:hAnsi="仿宋" w:eastAsia="仿宋" w:cs="仿宋"/>
          <w:kern w:val="0"/>
          <w:sz w:val="32"/>
          <w:szCs w:val="32"/>
        </w:rPr>
        <w:t>-2025</w:t>
      </w:r>
      <w:r>
        <w:rPr>
          <w:rFonts w:hint="eastAsia" w:ascii="仿宋" w:hAnsi="仿宋" w:eastAsia="仿宋" w:cs="仿宋"/>
          <w:kern w:val="0"/>
          <w:sz w:val="32"/>
          <w:szCs w:val="32"/>
        </w:rPr>
        <w:t>年</w:t>
      </w:r>
      <w:r>
        <w:rPr>
          <w:rFonts w:ascii="仿宋" w:hAnsi="仿宋" w:eastAsia="仿宋" w:cs="仿宋"/>
          <w:kern w:val="0"/>
          <w:sz w:val="32"/>
          <w:szCs w:val="32"/>
        </w:rPr>
        <w:t>10</w:t>
      </w:r>
      <w:r>
        <w:rPr>
          <w:rFonts w:hint="eastAsia" w:ascii="仿宋" w:hAnsi="仿宋" w:eastAsia="仿宋" w:cs="仿宋"/>
          <w:kern w:val="0"/>
          <w:sz w:val="32"/>
          <w:szCs w:val="32"/>
        </w:rPr>
        <w:t>月</w:t>
      </w:r>
    </w:p>
    <w:p>
      <w:pPr>
        <w:pStyle w:val="2"/>
        <w:spacing w:line="360" w:lineRule="auto"/>
        <w:ind w:left="0" w:leftChars="0" w:firstLine="640" w:firstLineChars="200"/>
        <w:rPr>
          <w:rFonts w:ascii="仿宋" w:hAnsi="仿宋" w:eastAsia="仿宋" w:cs="仿宋"/>
          <w:kern w:val="0"/>
          <w:sz w:val="32"/>
          <w:szCs w:val="32"/>
        </w:rPr>
      </w:pPr>
      <w:r>
        <w:rPr>
          <w:rFonts w:hint="eastAsia" w:ascii="仿宋" w:hAnsi="仿宋" w:eastAsia="仿宋" w:cs="仿宋"/>
          <w:kern w:val="0"/>
          <w:sz w:val="32"/>
          <w:szCs w:val="32"/>
        </w:rPr>
        <w:t>正式运行，收集数据。</w:t>
      </w:r>
    </w:p>
    <w:p>
      <w:pPr>
        <w:pStyle w:val="2"/>
        <w:spacing w:line="360" w:lineRule="auto"/>
        <w:ind w:left="0" w:leftChars="0" w:firstLine="640" w:firstLineChars="200"/>
        <w:rPr>
          <w:rFonts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w:t>
      </w:r>
      <w:r>
        <w:rPr>
          <w:rFonts w:ascii="仿宋" w:hAnsi="仿宋" w:eastAsia="仿宋" w:cs="仿宋"/>
          <w:kern w:val="0"/>
          <w:sz w:val="32"/>
          <w:szCs w:val="32"/>
        </w:rPr>
        <w:t>2025</w:t>
      </w:r>
      <w:r>
        <w:rPr>
          <w:rFonts w:hint="eastAsia" w:ascii="仿宋" w:hAnsi="仿宋" w:eastAsia="仿宋" w:cs="仿宋"/>
          <w:kern w:val="0"/>
          <w:sz w:val="32"/>
          <w:szCs w:val="32"/>
        </w:rPr>
        <w:t>年</w:t>
      </w:r>
      <w:r>
        <w:rPr>
          <w:rFonts w:ascii="仿宋" w:hAnsi="仿宋" w:eastAsia="仿宋" w:cs="仿宋"/>
          <w:kern w:val="0"/>
          <w:sz w:val="32"/>
          <w:szCs w:val="32"/>
        </w:rPr>
        <w:t>11</w:t>
      </w:r>
      <w:r>
        <w:rPr>
          <w:rFonts w:hint="eastAsia" w:ascii="仿宋" w:hAnsi="仿宋" w:eastAsia="仿宋" w:cs="仿宋"/>
          <w:kern w:val="0"/>
          <w:sz w:val="32"/>
          <w:szCs w:val="32"/>
        </w:rPr>
        <w:t>月</w:t>
      </w:r>
      <w:r>
        <w:rPr>
          <w:rFonts w:ascii="仿宋" w:hAnsi="仿宋" w:eastAsia="仿宋" w:cs="仿宋"/>
          <w:kern w:val="0"/>
          <w:sz w:val="32"/>
          <w:szCs w:val="32"/>
        </w:rPr>
        <w:t>-2025</w:t>
      </w:r>
      <w:r>
        <w:rPr>
          <w:rFonts w:hint="eastAsia" w:ascii="仿宋" w:hAnsi="仿宋" w:eastAsia="仿宋" w:cs="仿宋"/>
          <w:kern w:val="0"/>
          <w:sz w:val="32"/>
          <w:szCs w:val="32"/>
        </w:rPr>
        <w:t>年</w:t>
      </w:r>
      <w:r>
        <w:rPr>
          <w:rFonts w:ascii="仿宋" w:hAnsi="仿宋" w:eastAsia="仿宋" w:cs="仿宋"/>
          <w:kern w:val="0"/>
          <w:sz w:val="32"/>
          <w:szCs w:val="32"/>
        </w:rPr>
        <w:t>12</w:t>
      </w:r>
      <w:r>
        <w:rPr>
          <w:rFonts w:hint="eastAsia" w:ascii="仿宋" w:hAnsi="仿宋" w:eastAsia="仿宋" w:cs="仿宋"/>
          <w:kern w:val="0"/>
          <w:sz w:val="32"/>
          <w:szCs w:val="32"/>
        </w:rPr>
        <w:t>月</w:t>
      </w:r>
    </w:p>
    <w:p>
      <w:pPr>
        <w:pStyle w:val="2"/>
        <w:spacing w:line="360" w:lineRule="auto"/>
        <w:ind w:left="0" w:leftChars="0" w:firstLine="640" w:firstLineChars="200"/>
        <w:rPr>
          <w:rFonts w:ascii="仿宋" w:hAnsi="仿宋" w:eastAsia="仿宋" w:cs="仿宋"/>
          <w:kern w:val="0"/>
          <w:sz w:val="32"/>
          <w:szCs w:val="32"/>
        </w:rPr>
      </w:pPr>
      <w:r>
        <w:rPr>
          <w:rFonts w:hint="eastAsia" w:ascii="仿宋" w:hAnsi="仿宋" w:eastAsia="仿宋" w:cs="仿宋"/>
          <w:kern w:val="0"/>
          <w:sz w:val="32"/>
          <w:szCs w:val="32"/>
        </w:rPr>
        <w:t>与传统掘进工艺在经济效益和社会效益方面进行对比，对项目进行总结，形成报告。</w:t>
      </w:r>
    </w:p>
    <w:p>
      <w:pPr>
        <w:pStyle w:val="23"/>
        <w:widowControl/>
        <w:numPr>
          <w:ilvl w:val="0"/>
          <w:numId w:val="1"/>
        </w:numPr>
        <w:spacing w:line="360" w:lineRule="auto"/>
        <w:ind w:firstLineChars="0"/>
        <w:jc w:val="left"/>
        <w:rPr>
          <w:rFonts w:ascii="黑体" w:hAnsi="黑体" w:eastAsia="黑体" w:cs="黑体"/>
          <w:kern w:val="0"/>
          <w:sz w:val="32"/>
          <w:szCs w:val="32"/>
        </w:rPr>
      </w:pPr>
      <w:r>
        <w:rPr>
          <w:rFonts w:hint="eastAsia" w:ascii="黑体" w:hAnsi="黑体" w:eastAsia="黑体" w:cs="黑体"/>
          <w:kern w:val="0"/>
          <w:sz w:val="32"/>
          <w:szCs w:val="32"/>
        </w:rPr>
        <w:t>实施期限</w:t>
      </w:r>
      <w:bookmarkStart w:id="0" w:name="_GoBack"/>
      <w:bookmarkEnd w:id="0"/>
    </w:p>
    <w:p>
      <w:pPr>
        <w:widowControl/>
        <w:spacing w:line="360" w:lineRule="auto"/>
        <w:ind w:left="640"/>
        <w:jc w:val="left"/>
        <w:rPr>
          <w:rFonts w:ascii="黑体" w:hAnsi="黑体" w:eastAsia="黑体" w:cs="黑体"/>
          <w:kern w:val="0"/>
          <w:sz w:val="32"/>
          <w:szCs w:val="32"/>
        </w:rPr>
      </w:pPr>
      <w:r>
        <w:rPr>
          <w:rFonts w:hint="eastAsia" w:ascii="仿宋" w:hAnsi="仿宋" w:eastAsia="仿宋" w:cs="仿宋"/>
          <w:bCs/>
          <w:sz w:val="32"/>
          <w:szCs w:val="32"/>
        </w:rPr>
        <w:t>实施期限不超过2年。</w:t>
      </w:r>
    </w:p>
    <w:p>
      <w:pPr>
        <w:widowControl/>
        <w:numPr>
          <w:ilvl w:val="0"/>
          <w:numId w:val="2"/>
        </w:numPr>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榜单限额</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委外研究费用不超过200万元。</w:t>
      </w:r>
    </w:p>
    <w:p>
      <w:pPr>
        <w:widowControl/>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六、揭榜方条件</w:t>
      </w:r>
    </w:p>
    <w:p>
      <w:pPr>
        <w:widowControl/>
        <w:snapToGrid w:val="0"/>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1.</w:t>
      </w:r>
      <w:r>
        <w:rPr>
          <w:rFonts w:ascii="仿宋" w:hAnsi="仿宋" w:eastAsia="仿宋" w:cs="仿宋"/>
          <w:kern w:val="0"/>
          <w:sz w:val="32"/>
          <w:szCs w:val="32"/>
        </w:rPr>
        <w:t>揭榜方所在单位具备良好的工作基础、实验条件和科研环境，有较强的研发实力、科研条件和稳定的人员队伍等，有能力完成张榜任务；具有良好的科研道德和社会诚信，近3年内无不良信用记录；一般近五年内应承担过国家和省、行业重点科技攻关项目1项，或取得过国家和省部级、行业级科学技术奖1项，并具有一定的持续发展能力。</w:t>
      </w:r>
    </w:p>
    <w:p>
      <w:pPr>
        <w:widowControl/>
        <w:snapToGrid w:val="0"/>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2.</w:t>
      </w:r>
      <w:r>
        <w:rPr>
          <w:rFonts w:ascii="仿宋" w:hAnsi="仿宋" w:eastAsia="仿宋" w:cs="仿宋"/>
          <w:kern w:val="0"/>
          <w:sz w:val="32"/>
          <w:szCs w:val="32"/>
        </w:rPr>
        <w:t>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pPr>
        <w:widowControl/>
        <w:spacing w:line="360" w:lineRule="auto"/>
        <w:ind w:firstLine="640" w:firstLineChars="200"/>
        <w:rPr>
          <w:rFonts w:ascii="仿宋" w:hAnsi="仿宋" w:eastAsia="仿宋" w:cs="仿宋"/>
          <w:bCs/>
          <w:sz w:val="32"/>
          <w:szCs w:val="32"/>
        </w:rPr>
      </w:pPr>
      <w:r>
        <w:rPr>
          <w:rFonts w:hint="eastAsia" w:ascii="仿宋" w:hAnsi="仿宋" w:eastAsia="仿宋" w:cs="仿宋"/>
          <w:kern w:val="0"/>
          <w:sz w:val="32"/>
          <w:szCs w:val="32"/>
        </w:rPr>
        <w:t>3.</w:t>
      </w:r>
      <w:r>
        <w:rPr>
          <w:rFonts w:hint="eastAsia" w:ascii="仿宋" w:hAnsi="仿宋" w:eastAsia="仿宋" w:cs="仿宋"/>
          <w:bCs/>
          <w:sz w:val="32"/>
          <w:szCs w:val="32"/>
        </w:rPr>
        <w:t>揭榜方参与本项目的科研团队除挂帅者之外一般应有至少1名副高级职称或博士学位的核心人员（特别优秀创新人才不受限制），专业结构合理。团队研究方向和主要研究课题符合</w:t>
      </w:r>
      <w:r>
        <w:rPr>
          <w:rFonts w:ascii="仿宋" w:hAnsi="仿宋" w:eastAsia="仿宋" w:cs="仿宋"/>
          <w:kern w:val="0"/>
          <w:sz w:val="32"/>
          <w:szCs w:val="32"/>
        </w:rPr>
        <w:t>公司发展领域</w:t>
      </w:r>
      <w:r>
        <w:rPr>
          <w:rFonts w:hint="eastAsia" w:ascii="仿宋" w:hAnsi="仿宋" w:eastAsia="仿宋" w:cs="仿宋"/>
          <w:kern w:val="0"/>
          <w:sz w:val="32"/>
          <w:szCs w:val="32"/>
        </w:rPr>
        <w:t>、</w:t>
      </w:r>
      <w:r>
        <w:rPr>
          <w:rFonts w:ascii="仿宋" w:hAnsi="仿宋" w:eastAsia="仿宋" w:cs="仿宋"/>
          <w:kern w:val="0"/>
          <w:sz w:val="32"/>
          <w:szCs w:val="32"/>
        </w:rPr>
        <w:t>优势产业发展</w:t>
      </w:r>
      <w:r>
        <w:rPr>
          <w:rFonts w:hint="eastAsia" w:ascii="仿宋" w:hAnsi="仿宋" w:eastAsia="仿宋" w:cs="仿宋"/>
          <w:kern w:val="0"/>
          <w:sz w:val="32"/>
          <w:szCs w:val="32"/>
        </w:rPr>
        <w:t>以及</w:t>
      </w:r>
      <w:r>
        <w:rPr>
          <w:rFonts w:hint="eastAsia" w:ascii="仿宋" w:hAnsi="仿宋" w:eastAsia="仿宋" w:cs="仿宋"/>
          <w:bCs/>
          <w:sz w:val="32"/>
          <w:szCs w:val="32"/>
        </w:rPr>
        <w:t>本项目要求，已取得突出成绩或具有明显的创新潜力。</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4．</w:t>
      </w:r>
      <w:r>
        <w:rPr>
          <w:rFonts w:hint="eastAsia" w:ascii="仿宋" w:hAnsi="仿宋" w:eastAsia="仿宋" w:cs="仿宋"/>
          <w:bCs/>
          <w:sz w:val="32"/>
          <w:szCs w:val="32"/>
        </w:rPr>
        <w:t>揭榜方</w:t>
      </w:r>
      <w:r>
        <w:rPr>
          <w:rFonts w:hint="eastAsia" w:ascii="仿宋" w:hAnsi="仿宋" w:eastAsia="仿宋" w:cs="仿宋"/>
          <w:kern w:val="0"/>
          <w:sz w:val="32"/>
          <w:szCs w:val="32"/>
        </w:rPr>
        <w:t>具有成果转化的技术支撑队伍与相关经验，能够提供长期可持续的跟踪维护及技术支持，协助发榜方完成技术应用落地实施。</w:t>
      </w:r>
    </w:p>
    <w:p>
      <w:pPr>
        <w:widowControl/>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七、知识产权归属及利益分配</w:t>
      </w:r>
    </w:p>
    <w:p>
      <w:pPr>
        <w:pStyle w:val="23"/>
        <w:spacing w:line="360" w:lineRule="auto"/>
        <w:ind w:firstLine="640"/>
        <w:rPr>
          <w:rFonts w:ascii="仿宋" w:hAnsi="仿宋" w:eastAsia="仿宋" w:cs="仿宋"/>
          <w:bCs/>
          <w:sz w:val="32"/>
          <w:szCs w:val="32"/>
        </w:rPr>
      </w:pPr>
      <w:r>
        <w:rPr>
          <w:rFonts w:hint="eastAsia" w:ascii="仿宋" w:hAnsi="仿宋" w:eastAsia="仿宋" w:cs="仿宋"/>
          <w:bCs/>
          <w:sz w:val="32"/>
          <w:szCs w:val="32"/>
        </w:rPr>
        <w:t>1.专利或软著：第一完成单位为义马煤业集团股份有限公司及其所属单位。</w:t>
      </w:r>
    </w:p>
    <w:p>
      <w:pPr>
        <w:pStyle w:val="23"/>
        <w:spacing w:line="360" w:lineRule="auto"/>
        <w:ind w:firstLine="640"/>
        <w:rPr>
          <w:rFonts w:ascii="仿宋" w:hAnsi="仿宋" w:eastAsia="仿宋" w:cs="仿宋"/>
          <w:bCs/>
          <w:sz w:val="32"/>
          <w:szCs w:val="32"/>
        </w:rPr>
      </w:pPr>
      <w:r>
        <w:rPr>
          <w:rFonts w:hint="eastAsia" w:ascii="仿宋" w:hAnsi="仿宋" w:eastAsia="仿宋" w:cs="仿宋"/>
          <w:bCs/>
          <w:sz w:val="32"/>
          <w:szCs w:val="32"/>
        </w:rPr>
        <w:t>2.论文：第一作者为义马煤业集团股份有限公司及其所属单位人员。</w:t>
      </w:r>
    </w:p>
    <w:p>
      <w:pPr>
        <w:pStyle w:val="23"/>
        <w:spacing w:line="360" w:lineRule="auto"/>
        <w:ind w:firstLine="640"/>
        <w:rPr>
          <w:rFonts w:ascii="仿宋" w:hAnsi="仿宋" w:eastAsia="仿宋" w:cs="仿宋"/>
          <w:bCs/>
          <w:sz w:val="32"/>
          <w:szCs w:val="32"/>
        </w:rPr>
      </w:pPr>
      <w:r>
        <w:rPr>
          <w:rFonts w:hint="eastAsia" w:ascii="仿宋" w:hAnsi="仿宋" w:eastAsia="仿宋" w:cs="仿宋"/>
          <w:bCs/>
          <w:sz w:val="32"/>
          <w:szCs w:val="32"/>
        </w:rPr>
        <w:t>3.科技成果：鉴定成果的第一完成单位为义马煤业集团股份有限公司及其所属单位，完成人员名次可协商确定。</w:t>
      </w:r>
    </w:p>
    <w:p>
      <w:pPr>
        <w:widowControl/>
        <w:spacing w:line="360" w:lineRule="auto"/>
        <w:ind w:firstLine="640" w:firstLineChars="200"/>
        <w:jc w:val="left"/>
        <w:rPr>
          <w:rFonts w:ascii="仿宋" w:hAnsi="仿宋" w:eastAsia="仿宋" w:cs="仿宋"/>
          <w:bCs/>
          <w:sz w:val="32"/>
          <w:szCs w:val="32"/>
        </w:rPr>
      </w:pPr>
      <w:r>
        <w:rPr>
          <w:rFonts w:hint="eastAsia" w:ascii="仿宋" w:hAnsi="仿宋" w:eastAsia="仿宋" w:cs="仿宋"/>
          <w:bCs/>
          <w:sz w:val="32"/>
          <w:szCs w:val="32"/>
        </w:rPr>
        <w:t>4.本项目中的知识产权以后所产生的利益均归属义马煤业集团股份有限公司及其所属单位。</w:t>
      </w:r>
    </w:p>
    <w:p>
      <w:pPr>
        <w:widowControl/>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八、预期成果</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1.岩巷单进水平得到进一步提升，彻底扭转底板岩巷影响采掘接替的局面。</w:t>
      </w:r>
    </w:p>
    <w:p>
      <w:pPr>
        <w:pStyle w:val="2"/>
        <w:spacing w:line="360" w:lineRule="auto"/>
        <w:ind w:left="0" w:leftChars="0" w:firstLine="640" w:firstLineChars="200"/>
        <w:rPr>
          <w:rFonts w:ascii="仿宋" w:hAnsi="仿宋" w:eastAsia="仿宋" w:cs="仿宋"/>
          <w:kern w:val="0"/>
          <w:sz w:val="32"/>
          <w:szCs w:val="32"/>
        </w:rPr>
      </w:pPr>
      <w:r>
        <w:rPr>
          <w:rFonts w:hint="eastAsia" w:ascii="仿宋" w:hAnsi="仿宋" w:eastAsia="仿宋" w:cs="仿宋"/>
          <w:kern w:val="0"/>
          <w:sz w:val="32"/>
          <w:szCs w:val="32"/>
        </w:rPr>
        <w:t>2.发表项目相关期刊论文2篇以上。</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3.第三方鉴定报告1份，成果鉴定达到国内领先及以上水平。</w:t>
      </w:r>
    </w:p>
    <w:p>
      <w:pPr>
        <w:widowControl/>
        <w:spacing w:line="360" w:lineRule="auto"/>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九、应用场景</w:t>
      </w:r>
    </w:p>
    <w:p>
      <w:pPr>
        <w:widowControl/>
        <w:spacing w:line="360" w:lineRule="auto"/>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该技术将填补义煤公司TBM掘进机施工底板巷的空白。在新安煤矿16采区下山实施成功后，可推广至新安煤矿二水平运输大巷、21采区下山底板巷以及其他兄弟矿井，可极大提高底板巷岩巷单进水平，为瓦斯治理提供充足的时间和空间，从而提高瓦斯治理效果，进一步缓解采掘接替紧张局面。</w:t>
      </w:r>
    </w:p>
    <w:p>
      <w:pPr>
        <w:widowControl/>
        <w:spacing w:line="360" w:lineRule="auto"/>
        <w:ind w:firstLine="640" w:firstLineChars="200"/>
        <w:jc w:val="left"/>
        <w:rPr>
          <w:rFonts w:ascii="仿宋" w:hAnsi="仿宋" w:eastAsia="仿宋" w:cs="仿宋"/>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A4DEFB-F30E-4DF6-86ED-9A78F3F6103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2" w:fontKey="{87530365-831C-4DF3-A72E-EA46D2700C85}"/>
  </w:font>
  <w:font w:name="方正小标宋简体">
    <w:altName w:val="微软雅黑"/>
    <w:panose1 w:val="00000000000000000000"/>
    <w:charset w:val="86"/>
    <w:family w:val="script"/>
    <w:pitch w:val="default"/>
    <w:sig w:usb0="00000000" w:usb1="00000000" w:usb2="00000010" w:usb3="00000000" w:csb0="00040000" w:csb1="00000000"/>
    <w:embedRegular r:id="rId3" w:fontKey="{901D4972-185E-4E89-93FD-FFAF6A4B8A63}"/>
  </w:font>
  <w:font w:name="仿宋">
    <w:panose1 w:val="02010609060101010101"/>
    <w:charset w:val="86"/>
    <w:family w:val="modern"/>
    <w:pitch w:val="default"/>
    <w:sig w:usb0="800002BF" w:usb1="38CF7CFA" w:usb2="00000016" w:usb3="00000000" w:csb0="00040001" w:csb1="00000000"/>
    <w:embedRegular r:id="rId4" w:fontKey="{570028F7-89A8-4A75-9FD3-D88DDDEFC4E5}"/>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03237AD5"/>
    <w:multiLevelType w:val="singleLevel"/>
    <w:tmpl w:val="03237AD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0Y2JhNWUwNDA1N2I1YWJiYzdjMjNlYTk0MjhhMzEifQ=="/>
  </w:docVars>
  <w:rsids>
    <w:rsidRoot w:val="00E43621"/>
    <w:rsid w:val="0023163F"/>
    <w:rsid w:val="002D2500"/>
    <w:rsid w:val="005A38DF"/>
    <w:rsid w:val="00842EFC"/>
    <w:rsid w:val="00A03A35"/>
    <w:rsid w:val="00A30B0F"/>
    <w:rsid w:val="00A51599"/>
    <w:rsid w:val="00C9163D"/>
    <w:rsid w:val="00E43621"/>
    <w:rsid w:val="00E876E3"/>
    <w:rsid w:val="223C6206"/>
    <w:rsid w:val="292661EC"/>
    <w:rsid w:val="3BD266B1"/>
    <w:rsid w:val="3C9E556A"/>
    <w:rsid w:val="3CE6075B"/>
    <w:rsid w:val="40C6685A"/>
    <w:rsid w:val="53061753"/>
    <w:rsid w:val="53FA3C53"/>
    <w:rsid w:val="5F420863"/>
    <w:rsid w:val="77CB1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19">
    <w:name w:val="Default Paragraph Font"/>
    <w:semiHidden/>
    <w:unhideWhenUsed/>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UserStyle_0"/>
    <w:basedOn w:val="3"/>
    <w:next w:val="3"/>
    <w:qFormat/>
    <w:uiPriority w:val="0"/>
    <w:pPr>
      <w:textAlignment w:val="baseline"/>
    </w:pPr>
  </w:style>
  <w:style w:type="paragraph" w:customStyle="1" w:styleId="3">
    <w:name w:val="UserStyle_1"/>
    <w:basedOn w:val="4"/>
    <w:next w:val="11"/>
    <w:qFormat/>
    <w:uiPriority w:val="0"/>
    <w:pPr>
      <w:spacing w:after="120"/>
      <w:ind w:left="420" w:leftChars="200"/>
    </w:pPr>
  </w:style>
  <w:style w:type="paragraph" w:customStyle="1" w:styleId="4">
    <w:name w:val="正文 New New New New New New New New New New New New New New New"/>
    <w:next w:val="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qFormat/>
    <w:uiPriority w:val="0"/>
    <w:pPr>
      <w:ind w:firstLine="420" w:firstLineChars="200"/>
    </w:pPr>
  </w:style>
  <w:style w:type="paragraph" w:customStyle="1" w:styleId="6">
    <w:name w:val="Body Text Indent2"/>
    <w:basedOn w:val="1"/>
    <w:next w:val="7"/>
    <w:qFormat/>
    <w:uiPriority w:val="0"/>
    <w:pPr>
      <w:spacing w:after="120"/>
      <w:ind w:left="420" w:leftChars="200"/>
    </w:pPr>
  </w:style>
  <w:style w:type="paragraph" w:customStyle="1" w:styleId="7">
    <w:name w:val="index 72"/>
    <w:basedOn w:val="1"/>
    <w:next w:val="4"/>
    <w:qFormat/>
    <w:uiPriority w:val="0"/>
    <w:pPr>
      <w:ind w:left="2520"/>
    </w:pPr>
  </w:style>
  <w:style w:type="paragraph" w:customStyle="1" w:styleId="8">
    <w:name w:val="正文首行缩进2"/>
    <w:basedOn w:val="9"/>
    <w:next w:val="5"/>
    <w:qFormat/>
    <w:uiPriority w:val="0"/>
    <w:pPr>
      <w:ind w:firstLine="420" w:firstLineChars="100"/>
    </w:pPr>
  </w:style>
  <w:style w:type="paragraph" w:customStyle="1" w:styleId="9">
    <w:name w:val="正文文本 New New"/>
    <w:basedOn w:val="4"/>
    <w:next w:val="10"/>
    <w:qFormat/>
    <w:uiPriority w:val="0"/>
    <w:pPr>
      <w:spacing w:after="120"/>
    </w:pPr>
  </w:style>
  <w:style w:type="paragraph" w:customStyle="1" w:styleId="10">
    <w:name w:val="正文文本 21"/>
    <w:basedOn w:val="4"/>
    <w:qFormat/>
    <w:uiPriority w:val="0"/>
    <w:pPr>
      <w:spacing w:after="120" w:line="480" w:lineRule="auto"/>
    </w:pPr>
    <w:rPr>
      <w:rFonts w:ascii="Arial" w:hAnsi="Arial"/>
    </w:rPr>
  </w:style>
  <w:style w:type="paragraph" w:customStyle="1" w:styleId="11">
    <w:name w:val="UserStyle_2"/>
    <w:basedOn w:val="1"/>
    <w:next w:val="1"/>
    <w:qFormat/>
    <w:uiPriority w:val="0"/>
    <w:pPr>
      <w:ind w:left="1200" w:leftChars="1200"/>
      <w:textAlignment w:val="baseline"/>
    </w:pPr>
  </w:style>
  <w:style w:type="paragraph" w:styleId="12">
    <w:name w:val="Body Text 3"/>
    <w:basedOn w:val="1"/>
    <w:qFormat/>
    <w:uiPriority w:val="0"/>
    <w:pPr>
      <w:spacing w:line="440" w:lineRule="exact"/>
    </w:pPr>
    <w:rPr>
      <w:b/>
      <w:sz w:val="28"/>
      <w:szCs w:val="20"/>
    </w:rPr>
  </w:style>
  <w:style w:type="paragraph" w:styleId="13">
    <w:name w:val="Body Text Indent"/>
    <w:basedOn w:val="1"/>
    <w:next w:val="1"/>
    <w:qFormat/>
    <w:uiPriority w:val="0"/>
    <w:pPr>
      <w:spacing w:after="120"/>
      <w:ind w:left="420" w:leftChars="200"/>
    </w:pPr>
  </w:style>
  <w:style w:type="paragraph" w:styleId="14">
    <w:name w:val="footer"/>
    <w:basedOn w:val="1"/>
    <w:link w:val="22"/>
    <w:qFormat/>
    <w:uiPriority w:val="0"/>
    <w:pPr>
      <w:tabs>
        <w:tab w:val="center" w:pos="4153"/>
        <w:tab w:val="right" w:pos="8306"/>
      </w:tabs>
      <w:snapToGrid w:val="0"/>
      <w:jc w:val="left"/>
    </w:pPr>
    <w:rPr>
      <w:sz w:val="18"/>
      <w:szCs w:val="18"/>
    </w:rPr>
  </w:style>
  <w:style w:type="paragraph" w:styleId="15">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6">
    <w:name w:val="Normal (Web)"/>
    <w:basedOn w:val="1"/>
    <w:qFormat/>
    <w:uiPriority w:val="0"/>
    <w:rPr>
      <w:sz w:val="24"/>
    </w:rPr>
  </w:style>
  <w:style w:type="paragraph" w:styleId="17">
    <w:name w:val="Body Text First Indent 2"/>
    <w:basedOn w:val="13"/>
    <w:qFormat/>
    <w:uiPriority w:val="0"/>
    <w:pPr>
      <w:snapToGrid w:val="0"/>
      <w:ind w:firstLine="420" w:firstLineChars="200"/>
    </w:pPr>
    <w:rPr>
      <w:szCs w:val="24"/>
    </w:rPr>
  </w:style>
  <w:style w:type="character" w:customStyle="1" w:styleId="20">
    <w:name w:val="font101"/>
    <w:qFormat/>
    <w:uiPriority w:val="0"/>
    <w:rPr>
      <w:rFonts w:hint="eastAsia" w:ascii="宋体" w:hAnsi="宋体" w:eastAsia="宋体" w:cs="宋体"/>
      <w:color w:val="000000"/>
      <w:sz w:val="20"/>
      <w:szCs w:val="20"/>
      <w:u w:val="none"/>
    </w:rPr>
  </w:style>
  <w:style w:type="character" w:customStyle="1" w:styleId="21">
    <w:name w:val="页眉 Char"/>
    <w:basedOn w:val="19"/>
    <w:link w:val="15"/>
    <w:uiPriority w:val="0"/>
    <w:rPr>
      <w:rFonts w:ascii="Calibri" w:hAnsi="Calibri" w:eastAsia="宋体" w:cs="宋体"/>
      <w:kern w:val="2"/>
      <w:sz w:val="18"/>
      <w:szCs w:val="18"/>
    </w:rPr>
  </w:style>
  <w:style w:type="character" w:customStyle="1" w:styleId="22">
    <w:name w:val="页脚 Char"/>
    <w:basedOn w:val="19"/>
    <w:link w:val="14"/>
    <w:qFormat/>
    <w:uiPriority w:val="0"/>
    <w:rPr>
      <w:rFonts w:ascii="Calibri" w:hAnsi="Calibri" w:eastAsia="宋体" w:cs="宋体"/>
      <w:kern w:val="2"/>
      <w:sz w:val="18"/>
      <w:szCs w:val="18"/>
    </w:rPr>
  </w:style>
  <w:style w:type="paragraph" w:styleId="2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230</Words>
  <Characters>1312</Characters>
  <Lines>10</Lines>
  <Paragraphs>3</Paragraphs>
  <TotalTime>1</TotalTime>
  <ScaleCrop>false</ScaleCrop>
  <LinksUpToDate>false</LinksUpToDate>
  <CharactersWithSpaces>1539</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2024-04-02T02:16:00Z</dcterms:created>
  <dc:creator>晴天</dc:creator>
  <cp:lastModifiedBy>孙晓宏</cp:lastModifiedBy>
  <cp:lastPrinted>2024-07-16T02:33:00Z</cp:lastPrinted>
  <dcterms:modified xsi:type="dcterms:W3CDTF">2024-09-25T01:48:10Z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6421A9E0751E4DD2951BDCECF37DBC14_13</vt:lpwstr>
  </property>
</Properties>
</file>