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cs="黑体"/>
          <w:b/>
          <w:spacing w:val="-17"/>
          <w:kern w:val="0"/>
          <w:sz w:val="44"/>
          <w:szCs w:val="44"/>
        </w:rPr>
      </w:pPr>
      <w:r>
        <w:rPr>
          <w:rFonts w:hint="eastAsia" w:ascii="黑体" w:hAnsi="黑体" w:eastAsia="黑体" w:cs="黑体"/>
          <w:b/>
          <w:spacing w:val="-17"/>
          <w:kern w:val="0"/>
          <w:sz w:val="44"/>
          <w:szCs w:val="44"/>
        </w:rPr>
        <w:t>义煤公司“揭榜挂帅”科技项目榜单公告内容</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一、榜单名称</w:t>
      </w:r>
    </w:p>
    <w:p>
      <w:pPr>
        <w:keepNext w:val="0"/>
        <w:keepLines w:val="0"/>
        <w:pageBreakBefore w:val="0"/>
        <w:kinsoku/>
        <w:wordWrap/>
        <w:overflowPunct/>
        <w:topLinePunct w:val="0"/>
        <w:autoSpaceDE/>
        <w:autoSpaceDN/>
        <w:bidi w:val="0"/>
        <w:adjustRightInd/>
        <w:snapToGrid/>
        <w:spacing w:line="360" w:lineRule="auto"/>
        <w:ind w:firstLine="643" w:firstLineChars="200"/>
        <w:jc w:val="left"/>
        <w:textAlignment w:val="auto"/>
        <w:rPr>
          <w:rFonts w:ascii="仿宋" w:hAnsi="仿宋" w:eastAsia="仿宋" w:cs="仿宋"/>
          <w:bCs/>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Cs/>
          <w:kern w:val="0"/>
          <w:sz w:val="32"/>
          <w:szCs w:val="32"/>
        </w:rPr>
        <w:t>郁山煤业21采区工作面布置及连续扇形回采研究与应用</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b w:val="0"/>
          <w:bCs w:val="0"/>
          <w:kern w:val="0"/>
          <w:sz w:val="32"/>
          <w:szCs w:val="32"/>
        </w:rPr>
      </w:pPr>
      <w:r>
        <w:rPr>
          <w:rFonts w:hint="eastAsia" w:ascii="黑体" w:hAnsi="黑体" w:eastAsia="黑体" w:cs="黑体"/>
          <w:b w:val="0"/>
          <w:bCs w:val="0"/>
          <w:kern w:val="0"/>
          <w:sz w:val="32"/>
          <w:szCs w:val="32"/>
        </w:rPr>
        <w:t>二、需求目标</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bCs/>
          <w:kern w:val="0"/>
          <w:sz w:val="32"/>
          <w:szCs w:val="32"/>
        </w:rPr>
      </w:pPr>
      <w:r>
        <w:rPr>
          <w:rFonts w:hint="eastAsia" w:ascii="仿宋" w:hAnsi="仿宋" w:eastAsia="仿宋" w:cs="仿宋"/>
          <w:bCs/>
          <w:kern w:val="0"/>
          <w:sz w:val="32"/>
          <w:szCs w:val="32"/>
        </w:rPr>
        <w:t>1.对接替工作面布置进行优化，对技改井的工业属性以及地面设施进行再次评估，经过评估论证，对技改井北部尚未建设的污水处理站等地面建筑物保护煤柱进行优化设计，仅留设进风井筒（未投入使用）等设施保护煤柱，通过优化井下采掘布局，使其可多布置一个21031工作面。</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bCs/>
          <w:kern w:val="0"/>
          <w:sz w:val="32"/>
          <w:szCs w:val="32"/>
        </w:rPr>
      </w:pPr>
      <w:r>
        <w:rPr>
          <w:rFonts w:hint="eastAsia" w:ascii="仿宋" w:hAnsi="仿宋" w:eastAsia="仿宋" w:cs="仿宋"/>
          <w:bCs/>
          <w:kern w:val="0"/>
          <w:sz w:val="32"/>
          <w:szCs w:val="32"/>
        </w:rPr>
        <w:t>2.将21041工作面通过扇采，将两个工作面联合接续推采，研究探索适合我矿特殊地质条件下的扇形回采工艺。主要采</w:t>
      </w:r>
      <w:r>
        <w:rPr>
          <w:rFonts w:hint="eastAsia" w:ascii="仿宋" w:hAnsi="仿宋" w:eastAsia="仿宋" w:cs="仿宋"/>
          <w:bCs/>
          <w:color w:val="000000" w:themeColor="text1"/>
          <w:kern w:val="0"/>
          <w:sz w:val="32"/>
          <w:szCs w:val="32"/>
        </w:rPr>
        <w:t>用实中心开采，</w:t>
      </w:r>
      <w:r>
        <w:rPr>
          <w:rFonts w:hint="eastAsia" w:ascii="仿宋" w:hAnsi="仿宋" w:eastAsia="仿宋" w:cs="仿宋"/>
          <w:bCs/>
          <w:kern w:val="0"/>
          <w:sz w:val="32"/>
          <w:szCs w:val="32"/>
        </w:rPr>
        <w:t>工作面机头侧作为旋转中心侧，机尾侧调斜旋转推进。为确保旋转期间工作面设备整体不出现窜滑等问题，采取机头段扩帮，增加工作面旋转空间。在工作面掘进期间，使上巷旋转段采用分段折线掘进，尽量减少工作面长度变化，不用增减设备，降低管理及施工难度。现场管理中，主要在于液压支架调架和与前部刮板输送机上、下超管控范围窜动。旋转回采期间，严格按短刀斜切、单向割煤、及时支护、长短刀配合进行调斜旋转回采。</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bCs/>
          <w:kern w:val="0"/>
          <w:sz w:val="32"/>
          <w:szCs w:val="32"/>
        </w:rPr>
      </w:pPr>
      <w:r>
        <w:rPr>
          <w:rFonts w:hint="eastAsia" w:ascii="仿宋" w:hAnsi="仿宋" w:eastAsia="仿宋" w:cs="仿宋"/>
          <w:bCs/>
          <w:kern w:val="0"/>
          <w:sz w:val="32"/>
          <w:szCs w:val="32"/>
        </w:rPr>
        <w:t>通过以上研发内容和技术的大胆创新，以及外出学习其他矿井已经成功的扇采经验，并走访一些专家结合矿井的地质资料和实际情况进行深入研究，对于郁山煤业工作面三角区域煤炭资源回收可产生示范效应，可以提高煤炭回收率，且对于工作面初次放顶期间，工作面机尾快速推进，造成先从机尾位置逐架向机头方向垮落，防止大面积顶板垮落。同时，也大幅缓解矿井采掘接替紧张局面。</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三、考核指标</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1.计划时间节点：</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（1）2024年10月—2025年07月</w:t>
      </w:r>
    </w:p>
    <w:p>
      <w:pPr>
        <w:pStyle w:val="7"/>
        <w:keepNext w:val="0"/>
        <w:keepLines w:val="0"/>
        <w:pageBreakBefore w:val="0"/>
        <w:widowControl/>
        <w:kinsoku/>
        <w:wordWrap/>
        <w:overflowPunct/>
        <w:topLinePunct w:val="0"/>
        <w:autoSpaceDE/>
        <w:autoSpaceDN/>
        <w:bidi w:val="0"/>
        <w:adjustRightInd/>
        <w:snapToGrid/>
        <w:spacing w:line="360" w:lineRule="auto"/>
        <w:ind w:left="1360" w:hanging="720" w:firstLineChars="0"/>
        <w:jc w:val="left"/>
        <w:textAlignment w:val="auto"/>
        <w:rPr>
          <w:rFonts w:ascii="仿宋" w:hAnsi="仿宋" w:eastAsia="仿宋" w:cs="仿宋"/>
          <w:kern w:val="0"/>
          <w:sz w:val="32"/>
          <w:szCs w:val="32"/>
        </w:rPr>
      </w:pPr>
      <w:r>
        <w:rPr>
          <w:rFonts w:hint="eastAsia" w:ascii="仿宋" w:hAnsi="仿宋" w:eastAsia="仿宋" w:cs="仿宋"/>
          <w:kern w:val="0"/>
          <w:sz w:val="32"/>
          <w:szCs w:val="32"/>
        </w:rPr>
        <w:t>调研、制定方案、现场实施。</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（2）2025年08月—202</w:t>
      </w:r>
      <w:r>
        <w:rPr>
          <w:rFonts w:ascii="仿宋" w:hAnsi="仿宋" w:eastAsia="仿宋" w:cs="仿宋"/>
          <w:kern w:val="0"/>
          <w:sz w:val="32"/>
          <w:szCs w:val="32"/>
        </w:rPr>
        <w:t>6</w:t>
      </w:r>
      <w:r>
        <w:rPr>
          <w:rFonts w:hint="eastAsia" w:ascii="仿宋" w:hAnsi="仿宋" w:eastAsia="仿宋" w:cs="仿宋"/>
          <w:kern w:val="0"/>
          <w:sz w:val="32"/>
          <w:szCs w:val="32"/>
        </w:rPr>
        <w:t>年0</w:t>
      </w:r>
      <w:r>
        <w:rPr>
          <w:rFonts w:ascii="仿宋" w:hAnsi="仿宋" w:eastAsia="仿宋" w:cs="仿宋"/>
          <w:kern w:val="0"/>
          <w:sz w:val="32"/>
          <w:szCs w:val="32"/>
        </w:rPr>
        <w:t>3</w:t>
      </w:r>
      <w:r>
        <w:rPr>
          <w:rFonts w:hint="eastAsia" w:ascii="仿宋" w:hAnsi="仿宋" w:eastAsia="仿宋" w:cs="仿宋"/>
          <w:kern w:val="0"/>
          <w:sz w:val="32"/>
          <w:szCs w:val="32"/>
        </w:rPr>
        <w:t>月</w:t>
      </w:r>
    </w:p>
    <w:p>
      <w:pPr>
        <w:pStyle w:val="7"/>
        <w:keepNext w:val="0"/>
        <w:keepLines w:val="0"/>
        <w:pageBreakBefore w:val="0"/>
        <w:widowControl/>
        <w:kinsoku/>
        <w:wordWrap/>
        <w:overflowPunct/>
        <w:topLinePunct w:val="0"/>
        <w:autoSpaceDE/>
        <w:autoSpaceDN/>
        <w:bidi w:val="0"/>
        <w:adjustRightInd/>
        <w:snapToGrid/>
        <w:spacing w:line="360" w:lineRule="auto"/>
        <w:ind w:firstLine="640"/>
        <w:jc w:val="left"/>
        <w:textAlignment w:val="auto"/>
        <w:rPr>
          <w:rFonts w:ascii="仿宋" w:hAnsi="仿宋" w:eastAsia="仿宋" w:cs="仿宋"/>
          <w:kern w:val="0"/>
          <w:sz w:val="32"/>
          <w:szCs w:val="32"/>
        </w:rPr>
      </w:pPr>
      <w:r>
        <w:rPr>
          <w:rFonts w:hint="eastAsia" w:ascii="仿宋" w:hAnsi="仿宋" w:eastAsia="仿宋" w:cs="仿宋"/>
          <w:kern w:val="0"/>
          <w:sz w:val="32"/>
          <w:szCs w:val="32"/>
        </w:rPr>
        <w:t>总结项目研究成果，进行第三方鉴定，达到国际先进水平，编写报奖材料，申请省部级（含协会）科技二等以上奖励。</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2.形成三软不稳定特殊地质条件下有效回收三角区域煤炭资源，为提高特除地质条件下煤炭资源回收率提供有效的技术示范。</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3.发表核心论文2篇，申请专利1项。</w:t>
      </w:r>
    </w:p>
    <w:p>
      <w:pPr>
        <w:pStyle w:val="7"/>
        <w:keepNext w:val="0"/>
        <w:keepLines w:val="0"/>
        <w:pageBreakBefore w:val="0"/>
        <w:widowControl/>
        <w:kinsoku/>
        <w:wordWrap/>
        <w:overflowPunct/>
        <w:topLinePunct w:val="0"/>
        <w:autoSpaceDE/>
        <w:autoSpaceDN/>
        <w:bidi w:val="0"/>
        <w:adjustRightInd/>
        <w:snapToGrid/>
        <w:spacing w:line="360" w:lineRule="auto"/>
        <w:ind w:firstLine="640"/>
        <w:jc w:val="left"/>
        <w:textAlignment w:val="auto"/>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color w:val="000000" w:themeColor="text1"/>
          <w:kern w:val="0"/>
          <w:sz w:val="32"/>
          <w:szCs w:val="32"/>
        </w:rPr>
        <w:t>形成扇形回采相关技术与应</w:t>
      </w:r>
      <w:r>
        <w:rPr>
          <w:rFonts w:hint="eastAsia" w:ascii="仿宋" w:hAnsi="仿宋" w:eastAsia="仿宋" w:cs="仿宋"/>
          <w:kern w:val="0"/>
          <w:sz w:val="32"/>
          <w:szCs w:val="32"/>
        </w:rPr>
        <w:t>用报告，申请省部级（含协会）科技二等以上</w:t>
      </w:r>
      <w:r>
        <w:rPr>
          <w:rFonts w:hint="eastAsia" w:ascii="仿宋" w:hAnsi="仿宋" w:eastAsia="仿宋" w:cs="仿宋"/>
          <w:kern w:val="0"/>
          <w:sz w:val="32"/>
          <w:szCs w:val="32"/>
          <w:lang w:eastAsia="zh-CN"/>
        </w:rPr>
        <w:t>奖项</w:t>
      </w:r>
      <w:r>
        <w:rPr>
          <w:rFonts w:hint="eastAsia" w:ascii="仿宋" w:hAnsi="仿宋" w:eastAsia="仿宋" w:cs="仿宋"/>
          <w:kern w:val="0"/>
          <w:sz w:val="32"/>
          <w:szCs w:val="32"/>
        </w:rPr>
        <w:t>。</w:t>
      </w:r>
      <w:bookmarkStart w:id="0" w:name="_GoBack"/>
      <w:bookmarkEnd w:id="0"/>
    </w:p>
    <w:p>
      <w:pPr>
        <w:pStyle w:val="7"/>
        <w:keepNext w:val="0"/>
        <w:keepLines w:val="0"/>
        <w:pageBreakBefore w:val="0"/>
        <w:widowControl/>
        <w:kinsoku/>
        <w:wordWrap/>
        <w:overflowPunct/>
        <w:topLinePunct w:val="0"/>
        <w:autoSpaceDE/>
        <w:autoSpaceDN/>
        <w:bidi w:val="0"/>
        <w:adjustRightInd/>
        <w:snapToGrid/>
        <w:spacing w:line="360" w:lineRule="auto"/>
        <w:ind w:left="1360" w:hanging="720" w:firstLineChars="0"/>
        <w:jc w:val="left"/>
        <w:textAlignment w:val="auto"/>
        <w:rPr>
          <w:rFonts w:ascii="黑体" w:hAnsi="黑体" w:eastAsia="黑体" w:cs="黑体"/>
          <w:kern w:val="0"/>
          <w:sz w:val="32"/>
          <w:szCs w:val="32"/>
        </w:rPr>
      </w:pPr>
      <w:r>
        <w:rPr>
          <w:rFonts w:ascii="黑体" w:hAnsi="黑体" w:eastAsia="黑体" w:cs="黑体"/>
          <w:kern w:val="0"/>
          <w:sz w:val="32"/>
          <w:szCs w:val="32"/>
        </w:rPr>
        <w:t>四、</w:t>
      </w:r>
      <w:r>
        <w:rPr>
          <w:rFonts w:hint="eastAsia" w:ascii="黑体" w:hAnsi="黑体" w:eastAsia="黑体" w:cs="黑体"/>
          <w:kern w:val="0"/>
          <w:sz w:val="32"/>
          <w:szCs w:val="32"/>
        </w:rPr>
        <w:t>实施期限</w:t>
      </w:r>
    </w:p>
    <w:p>
      <w:pPr>
        <w:pStyle w:val="7"/>
        <w:keepNext w:val="0"/>
        <w:keepLines w:val="0"/>
        <w:pageBreakBefore w:val="0"/>
        <w:widowControl/>
        <w:kinsoku/>
        <w:wordWrap/>
        <w:overflowPunct/>
        <w:topLinePunct w:val="0"/>
        <w:autoSpaceDE/>
        <w:autoSpaceDN/>
        <w:bidi w:val="0"/>
        <w:adjustRightInd/>
        <w:snapToGrid/>
        <w:spacing w:line="360" w:lineRule="auto"/>
        <w:ind w:left="1360" w:hanging="720" w:firstLineChars="0"/>
        <w:jc w:val="left"/>
        <w:textAlignment w:val="auto"/>
        <w:rPr>
          <w:rFonts w:ascii="黑体" w:hAnsi="黑体" w:eastAsia="黑体" w:cs="黑体"/>
          <w:kern w:val="0"/>
          <w:sz w:val="32"/>
          <w:szCs w:val="32"/>
        </w:rPr>
      </w:pPr>
      <w:r>
        <w:rPr>
          <w:rFonts w:hint="eastAsia" w:ascii="仿宋" w:hAnsi="仿宋" w:eastAsia="仿宋" w:cs="仿宋"/>
          <w:bCs/>
          <w:sz w:val="32"/>
          <w:szCs w:val="32"/>
        </w:rPr>
        <w:t>实施期限不超过2年。</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榜单限额</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r>
        <w:rPr>
          <w:rFonts w:hint="eastAsia" w:ascii="仿宋" w:hAnsi="仿宋" w:eastAsia="仿宋" w:cs="仿宋"/>
          <w:kern w:val="0"/>
          <w:sz w:val="32"/>
          <w:szCs w:val="32"/>
        </w:rPr>
        <w:t>委外研究费用不超过20万元。</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揭榜方条件</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揭榜方所在单位具备良好的工作基础、实验条件和科研环境，有较强的研发实力、科研条件和稳定的人员队伍等，有能力完成张榜任务；具有良好的科研道德和社会诚信，近3年内无不良信用记录；近五年内取得过国家</w:t>
      </w:r>
      <w:r>
        <w:rPr>
          <w:rFonts w:hint="eastAsia" w:ascii="仿宋" w:hAnsi="仿宋" w:eastAsia="仿宋" w:cs="仿宋"/>
          <w:kern w:val="0"/>
          <w:sz w:val="32"/>
          <w:szCs w:val="32"/>
        </w:rPr>
        <w:t>、</w:t>
      </w:r>
      <w:r>
        <w:rPr>
          <w:rFonts w:ascii="仿宋" w:hAnsi="仿宋" w:eastAsia="仿宋" w:cs="仿宋"/>
          <w:kern w:val="0"/>
          <w:sz w:val="32"/>
          <w:szCs w:val="32"/>
        </w:rPr>
        <w:t>省部级</w:t>
      </w:r>
      <w:r>
        <w:rPr>
          <w:rFonts w:hint="eastAsia" w:ascii="仿宋" w:hAnsi="仿宋" w:eastAsia="仿宋" w:cs="仿宋"/>
          <w:kern w:val="0"/>
          <w:sz w:val="32"/>
          <w:szCs w:val="32"/>
        </w:rPr>
        <w:t>或者</w:t>
      </w:r>
      <w:r>
        <w:rPr>
          <w:rFonts w:ascii="仿宋" w:hAnsi="仿宋" w:eastAsia="仿宋" w:cs="仿宋"/>
          <w:kern w:val="0"/>
          <w:sz w:val="32"/>
          <w:szCs w:val="32"/>
        </w:rPr>
        <w:t>行业级科学技术奖</w:t>
      </w:r>
      <w:r>
        <w:rPr>
          <w:rFonts w:hint="eastAsia" w:ascii="仿宋" w:hAnsi="仿宋" w:eastAsia="仿宋" w:cs="仿宋"/>
          <w:kern w:val="0"/>
          <w:sz w:val="32"/>
          <w:szCs w:val="32"/>
        </w:rPr>
        <w:t>二等奖</w:t>
      </w:r>
      <w:r>
        <w:rPr>
          <w:rFonts w:ascii="仿宋" w:hAnsi="仿宋" w:eastAsia="仿宋" w:cs="仿宋"/>
          <w:kern w:val="0"/>
          <w:sz w:val="32"/>
          <w:szCs w:val="32"/>
        </w:rPr>
        <w:t>1项</w:t>
      </w:r>
      <w:r>
        <w:rPr>
          <w:rFonts w:hint="eastAsia" w:ascii="仿宋" w:hAnsi="仿宋" w:eastAsia="仿宋" w:cs="仿宋"/>
          <w:kern w:val="0"/>
          <w:sz w:val="32"/>
          <w:szCs w:val="32"/>
        </w:rPr>
        <w:t>以上</w:t>
      </w:r>
      <w:r>
        <w:rPr>
          <w:rFonts w:ascii="仿宋" w:hAnsi="仿宋" w:eastAsia="仿宋" w:cs="仿宋"/>
          <w:kern w:val="0"/>
          <w:sz w:val="32"/>
          <w:szCs w:val="32"/>
        </w:rPr>
        <w:t>，并具有一定的持续发展能力。</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2.</w:t>
      </w:r>
      <w:r>
        <w:rPr>
          <w:rFonts w:ascii="仿宋" w:hAnsi="仿宋" w:eastAsia="仿宋" w:cs="仿宋"/>
          <w:kern w:val="0"/>
          <w:sz w:val="32"/>
          <w:szCs w:val="32"/>
        </w:rPr>
        <w:t>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sz w:val="32"/>
          <w:szCs w:val="32"/>
        </w:rPr>
      </w:pPr>
      <w:r>
        <w:rPr>
          <w:rFonts w:hint="eastAsia" w:ascii="仿宋" w:hAnsi="仿宋" w:eastAsia="仿宋" w:cs="仿宋"/>
          <w:kern w:val="0"/>
          <w:sz w:val="32"/>
          <w:szCs w:val="32"/>
        </w:rPr>
        <w:t>3.</w:t>
      </w:r>
      <w:r>
        <w:rPr>
          <w:rFonts w:hint="eastAsia" w:ascii="仿宋" w:hAnsi="仿宋" w:eastAsia="仿宋" w:cs="仿宋"/>
          <w:bCs/>
          <w:sz w:val="32"/>
          <w:szCs w:val="32"/>
        </w:rPr>
        <w:t>揭榜方参与本项目的科研团队除挂帅者之外一般应有至少1名副高级职称或博士学位的核心人员（特别优秀创新人才不受限制），专业结构合理。团队研究方向和主要研究课题符合</w:t>
      </w:r>
      <w:r>
        <w:rPr>
          <w:rFonts w:ascii="仿宋" w:hAnsi="仿宋" w:eastAsia="仿宋" w:cs="仿宋"/>
          <w:kern w:val="0"/>
          <w:sz w:val="32"/>
          <w:szCs w:val="32"/>
        </w:rPr>
        <w:t>公司发展领域</w:t>
      </w:r>
      <w:r>
        <w:rPr>
          <w:rFonts w:hint="eastAsia" w:ascii="仿宋" w:hAnsi="仿宋" w:eastAsia="仿宋" w:cs="仿宋"/>
          <w:kern w:val="0"/>
          <w:sz w:val="32"/>
          <w:szCs w:val="32"/>
        </w:rPr>
        <w:t>、</w:t>
      </w:r>
      <w:r>
        <w:rPr>
          <w:rFonts w:ascii="仿宋" w:hAnsi="仿宋" w:eastAsia="仿宋" w:cs="仿宋"/>
          <w:kern w:val="0"/>
          <w:sz w:val="32"/>
          <w:szCs w:val="32"/>
        </w:rPr>
        <w:t>优势产业发展</w:t>
      </w:r>
      <w:r>
        <w:rPr>
          <w:rFonts w:hint="eastAsia" w:ascii="仿宋" w:hAnsi="仿宋" w:eastAsia="仿宋" w:cs="仿宋"/>
          <w:kern w:val="0"/>
          <w:sz w:val="32"/>
          <w:szCs w:val="32"/>
        </w:rPr>
        <w:t>以及</w:t>
      </w:r>
      <w:r>
        <w:rPr>
          <w:rFonts w:hint="eastAsia" w:ascii="仿宋" w:hAnsi="仿宋" w:eastAsia="仿宋" w:cs="仿宋"/>
          <w:bCs/>
          <w:sz w:val="32"/>
          <w:szCs w:val="32"/>
        </w:rPr>
        <w:t>本项目要求，已取得突出成绩或具有明显的创新潜力。</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bCs/>
          <w:sz w:val="32"/>
          <w:szCs w:val="32"/>
        </w:rPr>
      </w:pPr>
      <w:r>
        <w:rPr>
          <w:rFonts w:hint="eastAsia" w:ascii="仿宋" w:hAnsi="仿宋" w:eastAsia="仿宋" w:cs="仿宋"/>
          <w:kern w:val="0"/>
          <w:sz w:val="32"/>
          <w:szCs w:val="32"/>
        </w:rPr>
        <w:t>4.</w:t>
      </w:r>
      <w:r>
        <w:rPr>
          <w:rFonts w:hint="eastAsia" w:ascii="仿宋" w:hAnsi="仿宋" w:eastAsia="仿宋" w:cs="仿宋"/>
          <w:bCs/>
          <w:sz w:val="32"/>
          <w:szCs w:val="32"/>
        </w:rPr>
        <w:t>揭榜方</w:t>
      </w:r>
      <w:r>
        <w:rPr>
          <w:rFonts w:hint="eastAsia" w:ascii="仿宋" w:hAnsi="仿宋" w:eastAsia="仿宋" w:cs="仿宋"/>
          <w:kern w:val="0"/>
          <w:sz w:val="32"/>
          <w:szCs w:val="32"/>
        </w:rPr>
        <w:t>具有成果转化的技术支撑队伍与相关经验，能够提供长期可持续的跟踪维护及技术支持，协助发榜方完成技术应用落地实施。</w:t>
      </w:r>
    </w:p>
    <w:p>
      <w:pPr>
        <w:keepNext w:val="0"/>
        <w:keepLines w:val="0"/>
        <w:pageBreakBefore w:val="0"/>
        <w:widowControl/>
        <w:kinsoku/>
        <w:wordWrap/>
        <w:overflowPunct/>
        <w:topLinePunct w:val="0"/>
        <w:autoSpaceDE/>
        <w:autoSpaceDN/>
        <w:bidi w:val="0"/>
        <w:adjustRightInd/>
        <w:snapToGrid/>
        <w:spacing w:line="360" w:lineRule="auto"/>
        <w:ind w:left="420" w:left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七、知识产权归属及利益分配</w:t>
      </w:r>
    </w:p>
    <w:p>
      <w:pPr>
        <w:pStyle w:val="7"/>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sz w:val="32"/>
          <w:szCs w:val="32"/>
        </w:rPr>
      </w:pPr>
      <w:r>
        <w:rPr>
          <w:rFonts w:hint="eastAsia" w:ascii="仿宋" w:hAnsi="仿宋" w:eastAsia="仿宋" w:cs="仿宋"/>
          <w:bCs/>
          <w:sz w:val="32"/>
          <w:szCs w:val="32"/>
        </w:rPr>
        <w:t>1.专利或软著：第一完成单位为义马煤业集团股份有限公司及其所属单位。</w:t>
      </w:r>
    </w:p>
    <w:p>
      <w:pPr>
        <w:pStyle w:val="7"/>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sz w:val="32"/>
          <w:szCs w:val="32"/>
        </w:rPr>
      </w:pPr>
      <w:r>
        <w:rPr>
          <w:rFonts w:hint="eastAsia" w:ascii="仿宋" w:hAnsi="仿宋" w:eastAsia="仿宋" w:cs="仿宋"/>
          <w:bCs/>
          <w:sz w:val="32"/>
          <w:szCs w:val="32"/>
        </w:rPr>
        <w:t>2.论文：第一作者为义马煤业集团股份有限公司及其所属单位人员。</w:t>
      </w:r>
    </w:p>
    <w:p>
      <w:pPr>
        <w:pStyle w:val="7"/>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sz w:val="32"/>
          <w:szCs w:val="32"/>
        </w:rPr>
      </w:pPr>
      <w:r>
        <w:rPr>
          <w:rFonts w:hint="eastAsia" w:ascii="仿宋" w:hAnsi="仿宋" w:eastAsia="仿宋" w:cs="仿宋"/>
          <w:bCs/>
          <w:sz w:val="32"/>
          <w:szCs w:val="32"/>
        </w:rPr>
        <w:t>3.科技成果：鉴定成果的第一完成单位为义马煤业集团股份有限公司及其所属单位，完成人员名次可协商确定。</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bCs/>
          <w:sz w:val="32"/>
          <w:szCs w:val="32"/>
        </w:rPr>
      </w:pPr>
      <w:r>
        <w:rPr>
          <w:rFonts w:hint="eastAsia" w:ascii="仿宋" w:hAnsi="仿宋" w:eastAsia="仿宋" w:cs="仿宋"/>
          <w:bCs/>
          <w:sz w:val="32"/>
          <w:szCs w:val="32"/>
        </w:rPr>
        <w:t>4.本项目中的知识产权以后所产生的利益均归属义马煤业集团股份有限公司及其所属单位。</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八、预期成果</w:t>
      </w:r>
    </w:p>
    <w:p>
      <w:pPr>
        <w:pStyle w:val="7"/>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sz w:val="32"/>
          <w:szCs w:val="32"/>
        </w:rPr>
      </w:pPr>
      <w:r>
        <w:rPr>
          <w:rFonts w:hint="eastAsia" w:ascii="仿宋" w:hAnsi="仿宋" w:eastAsia="仿宋" w:cs="仿宋"/>
          <w:bCs/>
          <w:sz w:val="32"/>
          <w:szCs w:val="32"/>
        </w:rPr>
        <w:t>确保煤炭资源合理回收，提高经济效益，缓解采掘接替，减少工作面拆除安装频次和安全生产相对风险，解决采掘布局和施工中出现的一些不必要的矛盾，对于确保矿井持续稳产有着重要意义。</w:t>
      </w:r>
    </w:p>
    <w:p>
      <w:pPr>
        <w:pStyle w:val="7"/>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sz w:val="32"/>
          <w:szCs w:val="32"/>
        </w:rPr>
      </w:pPr>
      <w:r>
        <w:rPr>
          <w:rFonts w:hint="eastAsia" w:ascii="黑体" w:hAnsi="黑体" w:eastAsia="黑体" w:cs="黑体"/>
          <w:kern w:val="0"/>
          <w:sz w:val="32"/>
          <w:szCs w:val="32"/>
        </w:rPr>
        <w:t>九、应用场景</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bCs/>
          <w:color w:val="000000" w:themeColor="text1"/>
          <w:sz w:val="32"/>
          <w:szCs w:val="32"/>
        </w:rPr>
      </w:pPr>
      <w:r>
        <w:rPr>
          <w:rFonts w:hint="eastAsia" w:ascii="仿宋" w:hAnsi="仿宋" w:eastAsia="仿宋" w:cs="仿宋"/>
          <w:bCs/>
          <w:color w:val="000000" w:themeColor="text1"/>
          <w:sz w:val="32"/>
          <w:szCs w:val="32"/>
        </w:rPr>
        <w:t>通过多次学习和实地调研，最终总结出一套适用于郁山煤业这种特殊地质条件的扇形开采工艺和技术。该项目的落地和实施，对我国煤炭行业在大倾角、三软煤层以及走向倾角也较大等特殊地质条件下的扇形开采技术开创了历史性先河，将对我国煤炭行业在特殊地质条件的扇形开采技术有着积极的推动作用和指导意义。</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DD8AB"/>
    <w:multiLevelType w:val="singleLevel"/>
    <w:tmpl w:val="09EDD8AB"/>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M5ZTIyYjcxMjhkNGU5YTlmNmRmNDRmODI0NzJmMjcifQ=="/>
  </w:docVars>
  <w:rsids>
    <w:rsidRoot w:val="00446D05"/>
    <w:rsid w:val="00205A8E"/>
    <w:rsid w:val="00446D05"/>
    <w:rsid w:val="0052719F"/>
    <w:rsid w:val="00BC6C64"/>
    <w:rsid w:val="117A1736"/>
    <w:rsid w:val="26CB0B0D"/>
    <w:rsid w:val="2A325AA6"/>
    <w:rsid w:val="2BA44B77"/>
    <w:rsid w:val="33B63D56"/>
    <w:rsid w:val="36883403"/>
    <w:rsid w:val="3875321A"/>
    <w:rsid w:val="397D1988"/>
    <w:rsid w:val="73BC7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next w:val="1"/>
    <w:qFormat/>
    <w:uiPriority w:val="0"/>
    <w:pPr>
      <w:spacing w:after="120"/>
      <w:ind w:left="420" w:leftChars="200"/>
    </w:pPr>
    <w:rPr>
      <w:rFonts w:eastAsia="黑体"/>
      <w:sz w:val="24"/>
      <w:szCs w:val="20"/>
    </w:rPr>
  </w:style>
  <w:style w:type="paragraph" w:styleId="3">
    <w:name w:val="header"/>
    <w:basedOn w:val="1"/>
    <w:next w:val="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p0"/>
    <w:basedOn w:val="1"/>
    <w:next w:val="3"/>
    <w:qFormat/>
    <w:uiPriority w:val="0"/>
    <w:pPr>
      <w:widowControl/>
    </w:pPr>
    <w:rPr>
      <w:kern w:val="0"/>
      <w:szCs w:val="21"/>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1727</Words>
  <Characters>73</Characters>
  <Lines>1</Lines>
  <Paragraphs>3</Paragraphs>
  <TotalTime>14</TotalTime>
  <ScaleCrop>false</ScaleCrop>
  <LinksUpToDate>false</LinksUpToDate>
  <CharactersWithSpaces>1797</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2024-09-24T01:25:00Z</dcterms:created>
  <dc:creator>Administrator</dc:creator>
  <cp:lastModifiedBy>孙晓宏</cp:lastModifiedBy>
  <dcterms:modified xsi:type="dcterms:W3CDTF">2024-09-25T02:22:35Z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6B338264467D42F0B97ACD9FFCD1E9F5_12</vt:lpwstr>
  </property>
</Properties>
</file>