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7292">
      <w:pPr>
        <w:spacing w:line="240" w:lineRule="auto"/>
        <w:ind w:firstLine="0" w:firstLineChars="0"/>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焦煤公司“揭榜挂帅”科技项目榜单公告</w:t>
      </w:r>
    </w:p>
    <w:p w14:paraId="3D209D2A">
      <w:pPr>
        <w:spacing w:line="240" w:lineRule="auto"/>
        <w:ind w:firstLine="0" w:firstLineChars="0"/>
        <w:jc w:val="center"/>
        <w:rPr>
          <w:rFonts w:hint="eastAsia" w:ascii="方正小标宋简体" w:hAnsi="方正小标宋简体" w:eastAsia="方正小标宋简体" w:cs="方正小标宋简体"/>
          <w:b w:val="0"/>
          <w:bCs/>
          <w:spacing w:val="-17"/>
          <w:kern w:val="0"/>
          <w:sz w:val="44"/>
          <w:szCs w:val="44"/>
        </w:rPr>
      </w:pPr>
      <w:r>
        <w:rPr>
          <w:rFonts w:hint="eastAsia" w:ascii="方正小标宋简体" w:hAnsi="方正小标宋简体" w:eastAsia="方正小标宋简体" w:cs="方正小标宋简体"/>
          <w:b w:val="0"/>
          <w:bCs/>
          <w:spacing w:val="-17"/>
          <w:kern w:val="0"/>
          <w:sz w:val="44"/>
          <w:szCs w:val="44"/>
        </w:rPr>
        <w:t>内容</w:t>
      </w:r>
    </w:p>
    <w:p w14:paraId="23B1CECC">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一、榜单名称</w:t>
      </w:r>
    </w:p>
    <w:p w14:paraId="00A52A96">
      <w:pPr>
        <w:widowControl/>
        <w:spacing w:line="600" w:lineRule="exact"/>
        <w:ind w:left="0" w:leftChars="0" w:firstLine="643" w:firstLineChars="200"/>
        <w:jc w:val="left"/>
        <w:rPr>
          <w:rFonts w:hint="eastAsia" w:ascii="仿宋" w:hAnsi="仿宋" w:eastAsia="仿宋" w:cs="仿宋"/>
          <w:b/>
          <w:kern w:val="0"/>
          <w:sz w:val="32"/>
          <w:szCs w:val="32"/>
        </w:rPr>
      </w:pPr>
      <w:r>
        <w:rPr>
          <w:rFonts w:hint="eastAsia" w:ascii="仿宋" w:hAnsi="仿宋" w:eastAsia="仿宋" w:cs="仿宋"/>
          <w:b/>
          <w:kern w:val="0"/>
          <w:sz w:val="32"/>
          <w:szCs w:val="32"/>
        </w:rPr>
        <w:t>项目名称：深埋薄基岩厚硬煤层综放安全高效开采</w:t>
      </w:r>
    </w:p>
    <w:p w14:paraId="0D68F008">
      <w:pPr>
        <w:widowControl/>
        <w:spacing w:line="600" w:lineRule="exact"/>
        <w:ind w:left="0" w:leftChars="0" w:firstLine="2249" w:firstLineChars="700"/>
        <w:jc w:val="left"/>
        <w:rPr>
          <w:rFonts w:hint="eastAsia" w:ascii="仿宋" w:hAnsi="仿宋" w:eastAsia="仿宋" w:cs="仿宋"/>
          <w:b/>
          <w:kern w:val="0"/>
          <w:sz w:val="32"/>
          <w:szCs w:val="32"/>
        </w:rPr>
      </w:pPr>
      <w:r>
        <w:rPr>
          <w:rFonts w:hint="eastAsia" w:ascii="仿宋" w:hAnsi="仿宋" w:eastAsia="仿宋" w:cs="仿宋"/>
          <w:b/>
          <w:kern w:val="0"/>
          <w:sz w:val="32"/>
          <w:szCs w:val="32"/>
        </w:rPr>
        <w:t>关键技术研究</w:t>
      </w:r>
    </w:p>
    <w:p w14:paraId="30E6E977">
      <w:pPr>
        <w:widowControl/>
        <w:spacing w:line="600" w:lineRule="exact"/>
        <w:jc w:val="left"/>
        <w:rPr>
          <w:rFonts w:hint="default" w:ascii="仿宋" w:hAnsi="仿宋" w:eastAsia="仿宋" w:cs="仿宋"/>
          <w:b/>
          <w:kern w:val="0"/>
          <w:sz w:val="32"/>
          <w:szCs w:val="32"/>
          <w:lang w:val="en-US" w:eastAsia="zh-CN"/>
        </w:rPr>
      </w:pPr>
      <w:r>
        <w:rPr>
          <w:rFonts w:hint="eastAsia" w:ascii="仿宋" w:hAnsi="仿宋" w:eastAsia="仿宋" w:cs="仿宋"/>
          <w:b/>
          <w:kern w:val="0"/>
          <w:sz w:val="32"/>
          <w:szCs w:val="32"/>
        </w:rPr>
        <w:t>项目编号：2025-</w:t>
      </w:r>
      <w:r>
        <w:rPr>
          <w:rFonts w:hint="eastAsia" w:ascii="仿宋" w:hAnsi="仿宋" w:eastAsia="仿宋" w:cs="仿宋"/>
          <w:b/>
          <w:kern w:val="0"/>
          <w:sz w:val="32"/>
          <w:szCs w:val="32"/>
          <w:lang w:val="en-US" w:eastAsia="zh-CN"/>
        </w:rPr>
        <w:t>03</w:t>
      </w:r>
    </w:p>
    <w:p w14:paraId="2E22AD44">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二、需求目标</w:t>
      </w:r>
    </w:p>
    <w:p w14:paraId="0EE6DCB5">
      <w:pPr>
        <w:rPr>
          <w:rFonts w:hint="eastAsia" w:ascii="仿宋" w:hAnsi="仿宋" w:eastAsia="仿宋" w:cs="仿宋"/>
        </w:rPr>
      </w:pPr>
      <w:r>
        <w:rPr>
          <w:rFonts w:hint="eastAsia" w:ascii="仿宋" w:hAnsi="仿宋" w:eastAsia="仿宋" w:cs="仿宋"/>
        </w:rPr>
        <w:t>焦煤集团赵固矿区深部煤岩体复杂应力场、巨厚松散层、基岩薄且破碎以及厚硬煤层的赋存特征，不可避免的使得工作面回采时产生采场与巷道剧烈矿压显现，其控制难度急剧增加，回采效率低。为此，赵固矿区工作面回采先后采用了分层综采、一次采全高综采和综放开采工艺回采二</w:t>
      </w:r>
      <w:r>
        <w:rPr>
          <w:rFonts w:hint="eastAsia" w:ascii="仿宋" w:hAnsi="仿宋" w:eastAsia="仿宋" w:cs="仿宋"/>
          <w:vertAlign w:val="subscript"/>
        </w:rPr>
        <w:t>1</w:t>
      </w:r>
      <w:r>
        <w:rPr>
          <w:rFonts w:hint="eastAsia" w:ascii="仿宋" w:hAnsi="仿宋" w:eastAsia="仿宋" w:cs="仿宋"/>
        </w:rPr>
        <w:t>煤层，在相应条件下采场与巷道围岩控制方面积累了较为丰富的实践经验；目前所采用的综放开采采用“基础采高3.5m，放煤高度2.5m”的生产模式，虽然总体优于之前的分层综采和一次采全高综采，但仍面临</w:t>
      </w:r>
      <w:bookmarkStart w:id="0" w:name="_Hlk192150103"/>
      <w:r>
        <w:rPr>
          <w:rFonts w:hint="eastAsia" w:ascii="仿宋" w:hAnsi="仿宋" w:eastAsia="仿宋" w:cs="仿宋"/>
        </w:rPr>
        <w:t>工作面设备配套及其与地质条件适应性、厚硬顶煤冒放性与大块碳制约产能、回采煤巷应力与围岩环境恶化导致采动围岩控制难度增加等难题</w:t>
      </w:r>
      <w:bookmarkEnd w:id="0"/>
      <w:r>
        <w:rPr>
          <w:rFonts w:hint="eastAsia" w:ascii="仿宋" w:hAnsi="仿宋" w:eastAsia="仿宋" w:cs="仿宋"/>
        </w:rPr>
        <w:t>。因此，亟需构建一套</w:t>
      </w:r>
      <w:bookmarkStart w:id="1" w:name="_Hlk192150210"/>
      <w:r>
        <w:rPr>
          <w:rFonts w:hint="eastAsia" w:ascii="仿宋" w:hAnsi="仿宋" w:eastAsia="仿宋" w:cs="仿宋"/>
        </w:rPr>
        <w:t>涉及采场与巷道围岩控制的</w:t>
      </w:r>
      <w:bookmarkEnd w:id="1"/>
      <w:r>
        <w:rPr>
          <w:rFonts w:hint="eastAsia" w:ascii="仿宋" w:hAnsi="仿宋" w:eastAsia="仿宋" w:cs="仿宋"/>
        </w:rPr>
        <w:t>系统科学且安全高效的赵固矿区深埋薄基岩厚硬煤层综放开采关键技术模式，从而保障深埋薄基岩厚硬煤层开采的安全高效性、高回收率、低成本性。主要研究内容包括：</w:t>
      </w:r>
    </w:p>
    <w:p w14:paraId="0CD08DFF">
      <w:pPr>
        <w:rPr>
          <w:rFonts w:hint="eastAsia" w:ascii="仿宋" w:hAnsi="仿宋" w:eastAsia="仿宋" w:cs="仿宋"/>
        </w:rPr>
      </w:pPr>
      <w:r>
        <w:rPr>
          <w:rFonts w:hint="eastAsia" w:ascii="仿宋" w:hAnsi="仿宋" w:eastAsia="仿宋" w:cs="仿宋"/>
        </w:rPr>
        <w:t>1.深埋薄基岩综放开采强矿压显现特征；</w:t>
      </w:r>
    </w:p>
    <w:p w14:paraId="39A963EC">
      <w:pPr>
        <w:rPr>
          <w:rFonts w:hint="eastAsia" w:ascii="仿宋" w:hAnsi="仿宋" w:eastAsia="仿宋" w:cs="仿宋"/>
        </w:rPr>
      </w:pPr>
      <w:r>
        <w:rPr>
          <w:rFonts w:hint="eastAsia" w:ascii="仿宋" w:hAnsi="仿宋" w:eastAsia="仿宋" w:cs="仿宋"/>
        </w:rPr>
        <w:t>2.深埋薄基岩大采高综放开采工艺参数研究；</w:t>
      </w:r>
    </w:p>
    <w:p w14:paraId="538D3892">
      <w:pPr>
        <w:rPr>
          <w:rFonts w:hint="eastAsia" w:ascii="仿宋" w:hAnsi="仿宋" w:eastAsia="仿宋" w:cs="仿宋"/>
        </w:rPr>
      </w:pPr>
      <w:r>
        <w:rPr>
          <w:rFonts w:hint="eastAsia" w:ascii="仿宋" w:hAnsi="仿宋" w:eastAsia="仿宋" w:cs="仿宋"/>
        </w:rPr>
        <w:t>3.深埋薄基岩大采高综放开采设备配套技术研究；</w:t>
      </w:r>
    </w:p>
    <w:p w14:paraId="32010B53">
      <w:pPr>
        <w:rPr>
          <w:rFonts w:hint="eastAsia" w:ascii="仿宋" w:hAnsi="仿宋" w:eastAsia="仿宋" w:cs="仿宋"/>
        </w:rPr>
      </w:pPr>
      <w:r>
        <w:rPr>
          <w:rFonts w:hint="eastAsia" w:ascii="仿宋" w:hAnsi="仿宋" w:eastAsia="仿宋" w:cs="仿宋"/>
        </w:rPr>
        <w:t>4.</w:t>
      </w:r>
      <w:bookmarkStart w:id="2" w:name="OLE_LINK2"/>
      <w:bookmarkStart w:id="3" w:name="OLE_LINK1"/>
      <w:r>
        <w:rPr>
          <w:rFonts w:hint="eastAsia" w:ascii="仿宋" w:hAnsi="仿宋" w:eastAsia="仿宋" w:cs="仿宋"/>
        </w:rPr>
        <w:t>深埋薄基岩</w:t>
      </w:r>
      <w:bookmarkStart w:id="4" w:name="_Hlk192151168"/>
      <w:r>
        <w:rPr>
          <w:rFonts w:hint="eastAsia" w:ascii="仿宋" w:hAnsi="仿宋" w:eastAsia="仿宋" w:cs="仿宋"/>
        </w:rPr>
        <w:t>强采动综放煤巷围岩</w:t>
      </w:r>
      <w:bookmarkEnd w:id="4"/>
      <w:r>
        <w:rPr>
          <w:rFonts w:hint="eastAsia" w:ascii="仿宋" w:hAnsi="仿宋" w:eastAsia="仿宋" w:cs="仿宋"/>
        </w:rPr>
        <w:t>控制技术研究</w:t>
      </w:r>
      <w:bookmarkEnd w:id="2"/>
      <w:bookmarkEnd w:id="3"/>
      <w:r>
        <w:rPr>
          <w:rFonts w:hint="eastAsia" w:ascii="仿宋" w:hAnsi="仿宋" w:eastAsia="仿宋" w:cs="仿宋"/>
        </w:rPr>
        <w:t>；</w:t>
      </w:r>
    </w:p>
    <w:p w14:paraId="1935DF41">
      <w:pPr>
        <w:rPr>
          <w:rFonts w:hint="eastAsia" w:ascii="仿宋" w:hAnsi="仿宋" w:eastAsia="仿宋" w:cs="仿宋"/>
        </w:rPr>
      </w:pPr>
      <w:r>
        <w:rPr>
          <w:rFonts w:hint="eastAsia" w:ascii="仿宋" w:hAnsi="仿宋" w:eastAsia="仿宋" w:cs="仿宋"/>
        </w:rPr>
        <w:t>5.深埋薄基岩大采高综放开采经济安全效益研究。</w:t>
      </w:r>
    </w:p>
    <w:p w14:paraId="7DA209AF">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三、考核指标</w:t>
      </w:r>
    </w:p>
    <w:p w14:paraId="21E57317">
      <w:pPr>
        <w:rPr>
          <w:rFonts w:hint="eastAsia" w:ascii="仿宋" w:hAnsi="仿宋" w:eastAsia="仿宋" w:cs="仿宋"/>
        </w:rPr>
      </w:pPr>
      <w:r>
        <w:rPr>
          <w:rFonts w:hint="eastAsia" w:ascii="仿宋" w:hAnsi="仿宋" w:eastAsia="仿宋" w:cs="仿宋"/>
        </w:rPr>
        <w:t>1.明确深埋薄基岩综放开采强矿压显现特征；</w:t>
      </w:r>
    </w:p>
    <w:p w14:paraId="1B53F3A9">
      <w:pPr>
        <w:rPr>
          <w:rFonts w:hint="eastAsia" w:ascii="仿宋" w:hAnsi="仿宋" w:eastAsia="仿宋" w:cs="仿宋"/>
        </w:rPr>
      </w:pPr>
      <w:r>
        <w:rPr>
          <w:rFonts w:hint="eastAsia" w:ascii="仿宋" w:hAnsi="仿宋" w:eastAsia="仿宋" w:cs="仿宋"/>
        </w:rPr>
        <w:t>2.给出深埋薄基岩大采高综放开采工艺及相应技术；</w:t>
      </w:r>
    </w:p>
    <w:p w14:paraId="29FE3D3F">
      <w:pPr>
        <w:rPr>
          <w:rFonts w:hint="eastAsia" w:ascii="仿宋" w:hAnsi="仿宋" w:eastAsia="仿宋" w:cs="仿宋"/>
        </w:rPr>
      </w:pPr>
      <w:r>
        <w:rPr>
          <w:rFonts w:hint="eastAsia" w:ascii="仿宋" w:hAnsi="仿宋" w:eastAsia="仿宋" w:cs="仿宋"/>
        </w:rPr>
        <w:t>3.</w:t>
      </w:r>
      <w:bookmarkStart w:id="5" w:name="_Hlk192151053"/>
      <w:r>
        <w:rPr>
          <w:rFonts w:hint="eastAsia" w:ascii="仿宋" w:hAnsi="仿宋" w:eastAsia="仿宋" w:cs="仿宋"/>
        </w:rPr>
        <w:t>提出深埋薄基岩</w:t>
      </w:r>
      <w:bookmarkStart w:id="6" w:name="_Hlk192151285"/>
      <w:r>
        <w:rPr>
          <w:rFonts w:hint="eastAsia" w:ascii="仿宋" w:hAnsi="仿宋" w:eastAsia="仿宋" w:cs="仿宋"/>
        </w:rPr>
        <w:t>强采动综放煤巷围岩</w:t>
      </w:r>
      <w:bookmarkEnd w:id="6"/>
      <w:r>
        <w:rPr>
          <w:rFonts w:hint="eastAsia" w:ascii="仿宋" w:hAnsi="仿宋" w:eastAsia="仿宋" w:cs="仿宋"/>
        </w:rPr>
        <w:t>控制技术</w:t>
      </w:r>
      <w:bookmarkEnd w:id="5"/>
      <w:r>
        <w:rPr>
          <w:rFonts w:hint="eastAsia" w:ascii="仿宋" w:hAnsi="仿宋" w:eastAsia="仿宋" w:cs="仿宋"/>
        </w:rPr>
        <w:t>研究；</w:t>
      </w:r>
    </w:p>
    <w:p w14:paraId="7A7D09AD">
      <w:pPr>
        <w:rPr>
          <w:rFonts w:hint="eastAsia" w:ascii="仿宋" w:hAnsi="仿宋" w:eastAsia="仿宋" w:cs="仿宋"/>
        </w:rPr>
      </w:pPr>
      <w:r>
        <w:rPr>
          <w:rFonts w:hint="eastAsia" w:ascii="仿宋" w:hAnsi="仿宋" w:eastAsia="仿宋" w:cs="仿宋"/>
        </w:rPr>
        <w:t>4.提交深埋薄基岩厚硬煤层综放安全高效开采关键技术研究报告；</w:t>
      </w:r>
    </w:p>
    <w:p w14:paraId="12D61833">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四、实施期限</w:t>
      </w:r>
    </w:p>
    <w:p w14:paraId="2AA1FE5C">
      <w:r>
        <w:rPr>
          <w:rFonts w:hint="eastAsia"/>
        </w:rPr>
        <w:t>实施期限不超过1年。</w:t>
      </w:r>
    </w:p>
    <w:p w14:paraId="73D73A08">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五、榜单限额</w:t>
      </w:r>
    </w:p>
    <w:p w14:paraId="5EB2A1AF">
      <w:r>
        <w:rPr>
          <w:rFonts w:hint="eastAsia"/>
        </w:rPr>
        <w:t>委外研究费用不超过90万元。</w:t>
      </w:r>
    </w:p>
    <w:p w14:paraId="731EB5C4">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六、揭榜方条件</w:t>
      </w:r>
    </w:p>
    <w:p w14:paraId="1E420B7D">
      <w:pPr>
        <w:rPr>
          <w:rFonts w:hint="eastAsia" w:ascii="仿宋" w:hAnsi="仿宋" w:eastAsia="仿宋" w:cs="仿宋"/>
        </w:rPr>
      </w:pPr>
      <w:r>
        <w:rPr>
          <w:rFonts w:hint="eastAsia" w:ascii="仿宋" w:hAnsi="仿宋" w:eastAsia="仿宋" w:cs="仿宋"/>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近五年内，在采场矿压与岩层控制或巷道围岩控制方面的业绩不低于5项。</w:t>
      </w:r>
    </w:p>
    <w:p w14:paraId="6DCFCF33">
      <w:pPr>
        <w:rPr>
          <w:rFonts w:hint="eastAsia" w:ascii="仿宋" w:hAnsi="仿宋" w:eastAsia="仿宋" w:cs="仿宋"/>
        </w:rPr>
      </w:pPr>
      <w:r>
        <w:rPr>
          <w:rFonts w:hint="eastAsia" w:ascii="仿宋" w:hAnsi="仿宋" w:eastAsia="仿宋" w:cs="仿宋"/>
        </w:rPr>
        <w:t>2.揭榜方挂帅者实行“谁有能力谁揭榜挂帅”的原则。挂帅者作为研发团队带头人，应为采矿工程或矿业工程领域正高级职称，且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68966CA0">
      <w:pPr>
        <w:rPr>
          <w:rFonts w:hint="eastAsia" w:ascii="仿宋" w:hAnsi="仿宋" w:eastAsia="仿宋" w:cs="仿宋"/>
        </w:rPr>
      </w:pPr>
      <w:r>
        <w:rPr>
          <w:rFonts w:hint="eastAsia" w:ascii="仿宋" w:hAnsi="仿宋" w:eastAsia="仿宋" w:cs="仿宋"/>
        </w:rPr>
        <w:t>3.揭榜方参与本项目的科研团队除挂帅者之外一般应有至少</w:t>
      </w:r>
      <w:r>
        <w:rPr>
          <w:rFonts w:hint="eastAsia" w:ascii="仿宋" w:hAnsi="仿宋" w:eastAsia="仿宋" w:cs="仿宋"/>
          <w:lang w:val="en-US" w:eastAsia="zh-CN"/>
        </w:rPr>
        <w:t>1</w:t>
      </w:r>
      <w:r>
        <w:rPr>
          <w:rFonts w:hint="eastAsia" w:ascii="仿宋" w:hAnsi="仿宋" w:eastAsia="仿宋" w:cs="仿宋"/>
        </w:rPr>
        <w:t>名副高级职称或博士学位的核心人员（特别优秀创新人才不受限制），专业结构合理。团队研究方向和主要研究课题符合集团公司发展领域和优势产业发展的要求，已取得突出成绩或具有明显的创新潜力。</w:t>
      </w:r>
    </w:p>
    <w:p w14:paraId="7A47B310">
      <w:pPr>
        <w:rPr>
          <w:rFonts w:hint="eastAsia" w:ascii="仿宋" w:hAnsi="仿宋" w:eastAsia="仿宋" w:cs="仿宋"/>
        </w:rPr>
      </w:pPr>
      <w:r>
        <w:rPr>
          <w:rFonts w:hint="eastAsia" w:ascii="仿宋" w:hAnsi="仿宋" w:eastAsia="仿宋" w:cs="仿宋"/>
        </w:rPr>
        <w:t>4.揭榜方应保证在项目实施期间的工作时间和工作量，在焦煤公司内部同时承担项目数量不超过2项。</w:t>
      </w:r>
    </w:p>
    <w:p w14:paraId="7BA5AB48">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七、预期成果</w:t>
      </w:r>
    </w:p>
    <w:p w14:paraId="427E3380">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rPr>
        <w:t>提交</w:t>
      </w:r>
      <w:r>
        <w:rPr>
          <w:rFonts w:hint="eastAsia" w:ascii="仿宋" w:hAnsi="仿宋" w:eastAsia="仿宋" w:cs="仿宋"/>
          <w:kern w:val="0"/>
          <w:sz w:val="32"/>
          <w:szCs w:val="32"/>
          <w:lang w:eastAsia="zh-CN"/>
        </w:rPr>
        <w:t>项目研究</w:t>
      </w:r>
      <w:r>
        <w:rPr>
          <w:rFonts w:hint="eastAsia" w:ascii="仿宋" w:hAnsi="仿宋" w:eastAsia="仿宋" w:cs="仿宋"/>
          <w:kern w:val="0"/>
          <w:sz w:val="32"/>
          <w:szCs w:val="32"/>
        </w:rPr>
        <w:t>报告；</w:t>
      </w:r>
    </w:p>
    <w:p w14:paraId="6E36ADE5">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2.发表核心期刊论文不少于</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篇；</w:t>
      </w:r>
    </w:p>
    <w:p w14:paraId="22872857">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lang w:eastAsia="zh-CN"/>
        </w:rPr>
        <w:t>申请</w:t>
      </w:r>
      <w:r>
        <w:rPr>
          <w:rFonts w:hint="eastAsia" w:ascii="仿宋" w:hAnsi="仿宋" w:eastAsia="仿宋" w:cs="仿宋"/>
          <w:kern w:val="0"/>
          <w:sz w:val="32"/>
          <w:szCs w:val="32"/>
        </w:rPr>
        <w:t>发明专利不少于1项或取得实用新型专利不少于2项；</w:t>
      </w:r>
    </w:p>
    <w:p w14:paraId="635744CB">
      <w:pPr>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.研究成果经第三方鉴定，达到</w:t>
      </w:r>
      <w:r>
        <w:rPr>
          <w:rFonts w:hint="eastAsia" w:ascii="仿宋" w:hAnsi="仿宋" w:eastAsia="仿宋" w:cs="仿宋"/>
          <w:lang w:eastAsia="zh-CN"/>
        </w:rPr>
        <w:t>国际先进</w:t>
      </w:r>
      <w:r>
        <w:rPr>
          <w:rFonts w:hint="eastAsia" w:ascii="仿宋" w:hAnsi="仿宋" w:eastAsia="仿宋" w:cs="仿宋"/>
        </w:rPr>
        <w:t>及以上水平。</w:t>
      </w:r>
    </w:p>
    <w:p w14:paraId="0B4C1A25">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八、知识产权归属及利益分配</w:t>
      </w:r>
    </w:p>
    <w:p w14:paraId="09475D54">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1.专利：第一完成单位为焦作煤业（集团）有限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7FB77B7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2.论文：第一作者为焦作煤业（集团）有限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公司相关人员；</w:t>
      </w:r>
      <w:bookmarkStart w:id="7" w:name="_GoBack"/>
      <w:bookmarkEnd w:id="7"/>
    </w:p>
    <w:p w14:paraId="48B459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3.科技成果：鉴定成果的第一完成单位为焦作煤业（集团）有限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公司，完成人员名次可协商确定。</w:t>
      </w:r>
    </w:p>
    <w:p w14:paraId="62C802AE">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4.本项目产生利益均归属焦作煤业（集团）有限</w:t>
      </w:r>
      <w:r>
        <w:rPr>
          <w:rFonts w:hint="eastAsia" w:ascii="仿宋" w:hAnsi="仿宋" w:eastAsia="仿宋" w:cs="仿宋"/>
          <w:kern w:val="0"/>
          <w:sz w:val="32"/>
          <w:szCs w:val="32"/>
          <w:lang w:eastAsia="zh-CN"/>
        </w:rPr>
        <w:t>责任</w:t>
      </w:r>
      <w:r>
        <w:rPr>
          <w:rFonts w:hint="eastAsia" w:ascii="仿宋" w:hAnsi="仿宋" w:eastAsia="仿宋" w:cs="仿宋"/>
          <w:kern w:val="0"/>
          <w:sz w:val="32"/>
          <w:szCs w:val="32"/>
        </w:rPr>
        <w:t>公司。</w:t>
      </w:r>
    </w:p>
    <w:p w14:paraId="45C29021">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九、应用场景</w:t>
      </w:r>
    </w:p>
    <w:p w14:paraId="66284E32">
      <w:r>
        <w:rPr>
          <w:rFonts w:hint="eastAsia"/>
        </w:rPr>
        <w:t>煤矿安全高效开采、采动围岩控制、设备配套技术。</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A02490-D581-4880-8515-CEBE198A1BA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Ari">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CB19A4B5-BF62-48A6-9355-49818CF4BFF7}"/>
  </w:font>
  <w:font w:name="仿宋">
    <w:panose1 w:val="02010609060101010101"/>
    <w:charset w:val="86"/>
    <w:family w:val="modern"/>
    <w:pitch w:val="default"/>
    <w:sig w:usb0="800002BF" w:usb1="38CF7CFA" w:usb2="00000016" w:usb3="00000000" w:csb0="00040001" w:csb1="00000000"/>
    <w:embedRegular r:id="rId3" w:fontKey="{8A47357E-3128-4BC1-B986-55C70063EDC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4C04">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18AD1">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DE428">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16A1A">
    <w:pPr>
      <w:pStyle w:val="1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F7B0E">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C2AE5">
    <w:pPr>
      <w:pStyle w:val="1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1NDdhZWFmMGU0NDBiMTBjNjM4MmRhZjc4ODEyZDcifQ=="/>
  </w:docVars>
  <w:rsids>
    <w:rsidRoot w:val="614D5D3C"/>
    <w:rsid w:val="000D6428"/>
    <w:rsid w:val="00116BD8"/>
    <w:rsid w:val="0018415D"/>
    <w:rsid w:val="001B1398"/>
    <w:rsid w:val="00232768"/>
    <w:rsid w:val="002669C4"/>
    <w:rsid w:val="00326F1E"/>
    <w:rsid w:val="00350206"/>
    <w:rsid w:val="00366AA9"/>
    <w:rsid w:val="00382E21"/>
    <w:rsid w:val="003837D8"/>
    <w:rsid w:val="003A3C6E"/>
    <w:rsid w:val="003B1772"/>
    <w:rsid w:val="00403CB8"/>
    <w:rsid w:val="00414C35"/>
    <w:rsid w:val="00443F2D"/>
    <w:rsid w:val="004874D5"/>
    <w:rsid w:val="00542020"/>
    <w:rsid w:val="00552E76"/>
    <w:rsid w:val="005A0132"/>
    <w:rsid w:val="00637FF6"/>
    <w:rsid w:val="006A1596"/>
    <w:rsid w:val="006F0B68"/>
    <w:rsid w:val="00750A81"/>
    <w:rsid w:val="007719ED"/>
    <w:rsid w:val="00791C1A"/>
    <w:rsid w:val="007B1B15"/>
    <w:rsid w:val="007E0959"/>
    <w:rsid w:val="00842E94"/>
    <w:rsid w:val="00867445"/>
    <w:rsid w:val="0087106C"/>
    <w:rsid w:val="008C2304"/>
    <w:rsid w:val="008D3FED"/>
    <w:rsid w:val="0090206C"/>
    <w:rsid w:val="00931484"/>
    <w:rsid w:val="009854ED"/>
    <w:rsid w:val="00994F0B"/>
    <w:rsid w:val="009971C2"/>
    <w:rsid w:val="00A66C93"/>
    <w:rsid w:val="00AB050D"/>
    <w:rsid w:val="00AC7463"/>
    <w:rsid w:val="00AD4AD0"/>
    <w:rsid w:val="00AF1994"/>
    <w:rsid w:val="00B801DD"/>
    <w:rsid w:val="00BB506C"/>
    <w:rsid w:val="00C32986"/>
    <w:rsid w:val="00C47FB3"/>
    <w:rsid w:val="00C76B90"/>
    <w:rsid w:val="00CC73A5"/>
    <w:rsid w:val="00CE6E43"/>
    <w:rsid w:val="00D300C8"/>
    <w:rsid w:val="00E24431"/>
    <w:rsid w:val="00E35BCA"/>
    <w:rsid w:val="00E835D1"/>
    <w:rsid w:val="00EF6622"/>
    <w:rsid w:val="00F77270"/>
    <w:rsid w:val="00FD69DA"/>
    <w:rsid w:val="01A551DF"/>
    <w:rsid w:val="02D54857"/>
    <w:rsid w:val="02D549B2"/>
    <w:rsid w:val="02DF57A3"/>
    <w:rsid w:val="06F832D7"/>
    <w:rsid w:val="09A85ABA"/>
    <w:rsid w:val="0ABD7EBC"/>
    <w:rsid w:val="0BD14F70"/>
    <w:rsid w:val="101271B8"/>
    <w:rsid w:val="132228B9"/>
    <w:rsid w:val="13A363A0"/>
    <w:rsid w:val="144E09DA"/>
    <w:rsid w:val="14FE2FB4"/>
    <w:rsid w:val="152139F9"/>
    <w:rsid w:val="182A3199"/>
    <w:rsid w:val="18767712"/>
    <w:rsid w:val="195F6113"/>
    <w:rsid w:val="1A3B3606"/>
    <w:rsid w:val="1B010554"/>
    <w:rsid w:val="1D630B8A"/>
    <w:rsid w:val="209D2ACD"/>
    <w:rsid w:val="219F0AC7"/>
    <w:rsid w:val="21F41A5B"/>
    <w:rsid w:val="22241FCA"/>
    <w:rsid w:val="23110D9F"/>
    <w:rsid w:val="243D75AA"/>
    <w:rsid w:val="247578BD"/>
    <w:rsid w:val="292C49EE"/>
    <w:rsid w:val="2A9E6770"/>
    <w:rsid w:val="2AEB08D9"/>
    <w:rsid w:val="2C444745"/>
    <w:rsid w:val="2D360531"/>
    <w:rsid w:val="2DD02CA2"/>
    <w:rsid w:val="2DF53F49"/>
    <w:rsid w:val="2F177EEF"/>
    <w:rsid w:val="30896BCA"/>
    <w:rsid w:val="30E429EE"/>
    <w:rsid w:val="322B6BA4"/>
    <w:rsid w:val="34062D82"/>
    <w:rsid w:val="35E93E16"/>
    <w:rsid w:val="379B4D98"/>
    <w:rsid w:val="38914B8C"/>
    <w:rsid w:val="392D0F06"/>
    <w:rsid w:val="3AF24E09"/>
    <w:rsid w:val="3B3F1072"/>
    <w:rsid w:val="3C846A87"/>
    <w:rsid w:val="3CB72D11"/>
    <w:rsid w:val="3E183E7F"/>
    <w:rsid w:val="3F23643C"/>
    <w:rsid w:val="3F367F1D"/>
    <w:rsid w:val="3F577419"/>
    <w:rsid w:val="400B13AA"/>
    <w:rsid w:val="41152DB5"/>
    <w:rsid w:val="429F5DD9"/>
    <w:rsid w:val="43A74F55"/>
    <w:rsid w:val="463D1655"/>
    <w:rsid w:val="487F35C8"/>
    <w:rsid w:val="48A26B51"/>
    <w:rsid w:val="48C52AC1"/>
    <w:rsid w:val="4A880F5A"/>
    <w:rsid w:val="4C0B7E8A"/>
    <w:rsid w:val="4C353765"/>
    <w:rsid w:val="4D311F8B"/>
    <w:rsid w:val="4DB017E2"/>
    <w:rsid w:val="501047BA"/>
    <w:rsid w:val="528D2427"/>
    <w:rsid w:val="564E7DEA"/>
    <w:rsid w:val="57545446"/>
    <w:rsid w:val="582F3781"/>
    <w:rsid w:val="592139A9"/>
    <w:rsid w:val="5BAD7361"/>
    <w:rsid w:val="5CA93FCD"/>
    <w:rsid w:val="5E7F4FE5"/>
    <w:rsid w:val="5FAE77AA"/>
    <w:rsid w:val="614D5D3C"/>
    <w:rsid w:val="61C166DE"/>
    <w:rsid w:val="643376F3"/>
    <w:rsid w:val="65D42921"/>
    <w:rsid w:val="664D59C9"/>
    <w:rsid w:val="668D04BB"/>
    <w:rsid w:val="673A37F1"/>
    <w:rsid w:val="681744E0"/>
    <w:rsid w:val="68AA7C5D"/>
    <w:rsid w:val="6CCB5899"/>
    <w:rsid w:val="6E6B2E90"/>
    <w:rsid w:val="6F984159"/>
    <w:rsid w:val="714B2901"/>
    <w:rsid w:val="71600CA6"/>
    <w:rsid w:val="733F0D8F"/>
    <w:rsid w:val="75AA6994"/>
    <w:rsid w:val="79EF1B56"/>
    <w:rsid w:val="7C773348"/>
    <w:rsid w:val="7D0F3580"/>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600" w:lineRule="exact"/>
      <w:ind w:firstLine="640" w:firstLineChars="200"/>
      <w:jc w:val="both"/>
    </w:pPr>
    <w:rPr>
      <w:rFonts w:ascii="Times New Roman" w:hAnsi="Times New Roman" w:eastAsia="仿宋_GB2312" w:cs="Times New Roman"/>
      <w:kern w:val="2"/>
      <w:sz w:val="32"/>
      <w:szCs w:val="32"/>
      <w:lang w:val="en-US" w:eastAsia="zh-CN" w:bidi="ar-SA"/>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autoRedefine/>
    <w:qFormat/>
    <w:uiPriority w:val="0"/>
    <w:pPr>
      <w:textAlignment w:val="baseline"/>
    </w:pPr>
  </w:style>
  <w:style w:type="paragraph" w:customStyle="1" w:styleId="3">
    <w:name w:val="UserStyle_1"/>
    <w:basedOn w:val="4"/>
    <w:next w:val="11"/>
    <w:autoRedefine/>
    <w:qFormat/>
    <w:uiPriority w:val="0"/>
    <w:pPr>
      <w:spacing w:after="120"/>
      <w:ind w:left="420" w:leftChars="200"/>
    </w:pPr>
  </w:style>
  <w:style w:type="paragraph" w:customStyle="1" w:styleId="4">
    <w:name w:val="正文 New New New New New New New New New New New New New New New"/>
    <w:next w:val="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autoRedefine/>
    <w:qFormat/>
    <w:uiPriority w:val="0"/>
    <w:pPr>
      <w:ind w:firstLine="420"/>
    </w:pPr>
  </w:style>
  <w:style w:type="paragraph" w:customStyle="1" w:styleId="6">
    <w:name w:val="Body Text Indent2"/>
    <w:basedOn w:val="1"/>
    <w:next w:val="7"/>
    <w:autoRedefine/>
    <w:qFormat/>
    <w:uiPriority w:val="0"/>
    <w:pPr>
      <w:spacing w:after="120"/>
      <w:ind w:left="420" w:leftChars="200"/>
    </w:pPr>
  </w:style>
  <w:style w:type="paragraph" w:customStyle="1" w:styleId="7">
    <w:name w:val="index 72"/>
    <w:basedOn w:val="1"/>
    <w:next w:val="4"/>
    <w:autoRedefine/>
    <w:qFormat/>
    <w:uiPriority w:val="0"/>
    <w:pPr>
      <w:ind w:left="2520"/>
    </w:pPr>
  </w:style>
  <w:style w:type="paragraph" w:customStyle="1" w:styleId="8">
    <w:name w:val="正文首行缩进2"/>
    <w:basedOn w:val="9"/>
    <w:next w:val="5"/>
    <w:autoRedefine/>
    <w:qFormat/>
    <w:uiPriority w:val="0"/>
    <w:pPr>
      <w:ind w:firstLine="420" w:firstLineChars="100"/>
    </w:pPr>
  </w:style>
  <w:style w:type="paragraph" w:customStyle="1" w:styleId="9">
    <w:name w:val="正文文本 New New"/>
    <w:basedOn w:val="4"/>
    <w:next w:val="10"/>
    <w:autoRedefine/>
    <w:qFormat/>
    <w:uiPriority w:val="0"/>
    <w:pPr>
      <w:spacing w:after="120"/>
    </w:pPr>
  </w:style>
  <w:style w:type="paragraph" w:customStyle="1" w:styleId="10">
    <w:name w:val="正文文本 21"/>
    <w:basedOn w:val="4"/>
    <w:autoRedefine/>
    <w:qFormat/>
    <w:uiPriority w:val="0"/>
    <w:pPr>
      <w:spacing w:after="120" w:line="480" w:lineRule="auto"/>
    </w:pPr>
    <w:rPr>
      <w:rFonts w:ascii="Arial" w:hAnsi="Arial"/>
    </w:rPr>
  </w:style>
  <w:style w:type="paragraph" w:customStyle="1" w:styleId="11">
    <w:name w:val="UserStyle_2"/>
    <w:basedOn w:val="1"/>
    <w:next w:val="1"/>
    <w:autoRedefine/>
    <w:qFormat/>
    <w:uiPriority w:val="0"/>
    <w:pPr>
      <w:ind w:left="1200" w:leftChars="1200"/>
      <w:textAlignment w:val="baseline"/>
    </w:pPr>
  </w:style>
  <w:style w:type="paragraph" w:styleId="12">
    <w:name w:val="Normal Indent"/>
    <w:basedOn w:val="1"/>
    <w:next w:val="1"/>
    <w:autoRedefine/>
    <w:unhideWhenUsed/>
    <w:qFormat/>
    <w:uiPriority w:val="99"/>
    <w:pPr>
      <w:ind w:firstLine="420"/>
    </w:pPr>
  </w:style>
  <w:style w:type="paragraph" w:styleId="13">
    <w:name w:val="Body Text 3"/>
    <w:basedOn w:val="1"/>
    <w:autoRedefine/>
    <w:qFormat/>
    <w:uiPriority w:val="0"/>
    <w:pPr>
      <w:spacing w:line="440" w:lineRule="exact"/>
    </w:pPr>
    <w:rPr>
      <w:b/>
      <w:sz w:val="28"/>
      <w:szCs w:val="20"/>
    </w:rPr>
  </w:style>
  <w:style w:type="paragraph" w:styleId="14">
    <w:name w:val="footer"/>
    <w:basedOn w:val="1"/>
    <w:link w:val="20"/>
    <w:qFormat/>
    <w:uiPriority w:val="0"/>
    <w:pPr>
      <w:tabs>
        <w:tab w:val="center" w:pos="4153"/>
        <w:tab w:val="right" w:pos="8306"/>
      </w:tabs>
      <w:snapToGrid w:val="0"/>
      <w:jc w:val="left"/>
    </w:pPr>
    <w:rPr>
      <w:sz w:val="18"/>
      <w:szCs w:val="18"/>
    </w:rPr>
  </w:style>
  <w:style w:type="paragraph" w:styleId="1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表格"/>
    <w:autoRedefine/>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character" w:customStyle="1" w:styleId="19">
    <w:name w:val="页眉 字符"/>
    <w:basedOn w:val="17"/>
    <w:link w:val="15"/>
    <w:qFormat/>
    <w:uiPriority w:val="0"/>
    <w:rPr>
      <w:kern w:val="2"/>
      <w:sz w:val="18"/>
      <w:szCs w:val="18"/>
    </w:rPr>
  </w:style>
  <w:style w:type="character" w:customStyle="1" w:styleId="20">
    <w:name w:val="页脚 字符"/>
    <w:basedOn w:val="17"/>
    <w:link w:val="14"/>
    <w:qFormat/>
    <w:uiPriority w:val="0"/>
    <w:rPr>
      <w:kern w:val="2"/>
      <w:sz w:val="18"/>
      <w:szCs w:val="18"/>
    </w:rPr>
  </w:style>
  <w:style w:type="paragraph" w:styleId="21">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1492</Words>
  <Characters>1526</Characters>
  <Lines>11</Lines>
  <Paragraphs>3</Paragraphs>
  <TotalTime>1</TotalTime>
  <ScaleCrop>false</ScaleCrop>
  <LinksUpToDate>false</LinksUpToDate>
  <CharactersWithSpaces>1541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2025-02-18T02:56:00Z</dcterms:created>
  <dc:creator>贵宏伟</dc:creator>
  <cp:lastModifiedBy>贵宏伟</cp:lastModifiedBy>
  <cp:lastPrinted>2025-03-03T02:36:00Z</cp:lastPrinted>
  <dcterms:modified xsi:type="dcterms:W3CDTF">2025-03-06T07:13:16Z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2D3B1EF149164B1D908960368EFE3EDC_13</vt:lpwstr>
  </property>
  <property fmtid="{D5CDD505-2E9C-101B-9397-08002B2CF9AE}" pid="4" name="KSOTemplateDocerSaveRecord">
    <vt:lpwstr>eyJoZGlkIjoiYzk1NDdhZWFmMGU0NDBiMTBjNjM4MmRhZjc4ODEyZDciLCJ1c2VySWQiOiI0MjUzNzQxNDQifQ==</vt:lpwstr>
  </property>
</Properties>
</file>