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FD9" w:rsidRDefault="0020554D">
      <w:pPr>
        <w:widowControl/>
        <w:spacing w:line="360" w:lineRule="auto"/>
        <w:jc w:val="center"/>
        <w:rPr>
          <w:rFonts w:ascii="仿宋_GB2312" w:eastAsia="仿宋_GB2312" w:hAnsi="宋体" w:cs="宋体"/>
          <w:kern w:val="0"/>
          <w:sz w:val="32"/>
          <w:szCs w:val="32"/>
        </w:rPr>
      </w:pPr>
      <w:r>
        <w:rPr>
          <w:rFonts w:ascii="方正小标宋简体" w:eastAsia="方正小标宋简体" w:hAnsi="方正小标宋简体" w:cs="方正小标宋简体" w:hint="eastAsia"/>
          <w:b/>
          <w:spacing w:val="-17"/>
          <w:kern w:val="0"/>
          <w:sz w:val="44"/>
          <w:szCs w:val="44"/>
        </w:rPr>
        <w:t>义煤公司“揭榜挂帅”科技项目榜单公告内容</w:t>
      </w:r>
    </w:p>
    <w:p w:rsidR="000C0FD9" w:rsidRDefault="0020554D">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一、榜单名称</w:t>
      </w:r>
    </w:p>
    <w:p w:rsidR="000C0FD9" w:rsidRDefault="0020554D">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项目名称：</w:t>
      </w:r>
      <w:r>
        <w:rPr>
          <w:rFonts w:ascii="仿宋" w:eastAsia="仿宋" w:hAnsi="仿宋" w:cs="仿宋" w:hint="eastAsia"/>
          <w:kern w:val="0"/>
          <w:sz w:val="32"/>
          <w:szCs w:val="32"/>
        </w:rPr>
        <w:t>二</w:t>
      </w:r>
      <w:r>
        <w:rPr>
          <w:rFonts w:ascii="仿宋" w:eastAsia="仿宋" w:hAnsi="仿宋" w:cs="仿宋" w:hint="eastAsia"/>
          <w:kern w:val="0"/>
          <w:sz w:val="32"/>
          <w:szCs w:val="32"/>
          <w:vertAlign w:val="subscript"/>
        </w:rPr>
        <w:t>2</w:t>
      </w:r>
      <w:r>
        <w:rPr>
          <w:rFonts w:ascii="仿宋" w:eastAsia="仿宋" w:hAnsi="仿宋" w:cs="仿宋" w:hint="eastAsia"/>
          <w:kern w:val="0"/>
          <w:sz w:val="32"/>
          <w:szCs w:val="32"/>
        </w:rPr>
        <w:t>煤层保护层底板定向长钻孔高效抽采二</w:t>
      </w:r>
      <w:r>
        <w:rPr>
          <w:rFonts w:ascii="仿宋" w:eastAsia="仿宋" w:hAnsi="仿宋" w:cs="仿宋"/>
          <w:kern w:val="0"/>
          <w:sz w:val="32"/>
          <w:szCs w:val="32"/>
        </w:rPr>
        <w:softHyphen/>
      </w:r>
      <w:r>
        <w:rPr>
          <w:rFonts w:ascii="仿宋" w:eastAsia="仿宋" w:hAnsi="仿宋" w:cs="仿宋" w:hint="eastAsia"/>
          <w:kern w:val="0"/>
          <w:sz w:val="32"/>
          <w:szCs w:val="32"/>
          <w:vertAlign w:val="subscript"/>
        </w:rPr>
        <w:t>1</w:t>
      </w:r>
      <w:r>
        <w:rPr>
          <w:rFonts w:ascii="仿宋" w:eastAsia="仿宋" w:hAnsi="仿宋" w:cs="仿宋" w:hint="eastAsia"/>
          <w:kern w:val="0"/>
          <w:sz w:val="32"/>
          <w:szCs w:val="32"/>
        </w:rPr>
        <w:t>煤层卸压瓦斯技术研究</w:t>
      </w:r>
    </w:p>
    <w:p w:rsidR="000C0FD9" w:rsidRDefault="0020554D">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注：</w:t>
      </w:r>
      <w:r>
        <w:rPr>
          <w:rFonts w:ascii="仿宋" w:eastAsia="仿宋" w:hAnsi="仿宋" w:cs="仿宋" w:hint="eastAsia"/>
          <w:kern w:val="0"/>
          <w:sz w:val="32"/>
          <w:szCs w:val="32"/>
        </w:rPr>
        <w:t>《关于下达义煤公司</w:t>
      </w:r>
      <w:r>
        <w:rPr>
          <w:rFonts w:ascii="仿宋" w:eastAsia="仿宋" w:hAnsi="仿宋" w:cs="仿宋" w:hint="eastAsia"/>
          <w:kern w:val="0"/>
          <w:sz w:val="32"/>
          <w:szCs w:val="32"/>
        </w:rPr>
        <w:t>2025</w:t>
      </w:r>
      <w:r>
        <w:rPr>
          <w:rFonts w:ascii="仿宋" w:eastAsia="仿宋" w:hAnsi="仿宋" w:cs="仿宋" w:hint="eastAsia"/>
          <w:kern w:val="0"/>
          <w:sz w:val="32"/>
          <w:szCs w:val="32"/>
        </w:rPr>
        <w:t>年科技项目计划的通知》（义煤发〔</w:t>
      </w:r>
      <w:r>
        <w:rPr>
          <w:rFonts w:ascii="仿宋" w:eastAsia="仿宋" w:hAnsi="仿宋" w:cs="仿宋" w:hint="eastAsia"/>
          <w:kern w:val="0"/>
          <w:sz w:val="32"/>
          <w:szCs w:val="32"/>
        </w:rPr>
        <w:t>202</w:t>
      </w:r>
      <w:r>
        <w:rPr>
          <w:rFonts w:ascii="仿宋" w:eastAsia="仿宋" w:hAnsi="仿宋" w:cs="仿宋" w:hint="eastAsia"/>
          <w:kern w:val="0"/>
          <w:sz w:val="32"/>
          <w:szCs w:val="32"/>
        </w:rPr>
        <w:t>5</w:t>
      </w:r>
      <w:r>
        <w:rPr>
          <w:rFonts w:ascii="仿宋" w:eastAsia="仿宋" w:hAnsi="仿宋" w:cs="仿宋" w:hint="eastAsia"/>
          <w:kern w:val="0"/>
          <w:sz w:val="32"/>
          <w:szCs w:val="32"/>
        </w:rPr>
        <w:t>〕</w:t>
      </w:r>
      <w:r>
        <w:rPr>
          <w:rFonts w:ascii="仿宋" w:eastAsia="仿宋" w:hAnsi="仿宋" w:cs="仿宋" w:hint="eastAsia"/>
          <w:kern w:val="0"/>
          <w:sz w:val="32"/>
          <w:szCs w:val="32"/>
        </w:rPr>
        <w:t>96</w:t>
      </w:r>
      <w:r>
        <w:rPr>
          <w:rFonts w:ascii="仿宋" w:eastAsia="仿宋" w:hAnsi="仿宋" w:cs="仿宋" w:hint="eastAsia"/>
          <w:kern w:val="0"/>
          <w:sz w:val="32"/>
          <w:szCs w:val="32"/>
        </w:rPr>
        <w:t>号），项目编号：</w:t>
      </w:r>
      <w:r>
        <w:rPr>
          <w:rFonts w:ascii="仿宋" w:eastAsia="仿宋" w:hAnsi="仿宋" w:cs="仿宋" w:hint="eastAsia"/>
          <w:kern w:val="0"/>
          <w:sz w:val="32"/>
          <w:szCs w:val="32"/>
        </w:rPr>
        <w:t>YMCXY202509-TF5</w:t>
      </w:r>
      <w:r>
        <w:rPr>
          <w:rFonts w:ascii="仿宋" w:eastAsia="仿宋" w:hAnsi="仿宋" w:cs="仿宋" w:hint="eastAsia"/>
          <w:kern w:val="0"/>
          <w:sz w:val="32"/>
          <w:szCs w:val="32"/>
        </w:rPr>
        <w:t>。</w:t>
      </w:r>
    </w:p>
    <w:p w:rsidR="000C0FD9" w:rsidRDefault="0020554D">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二、需求目标</w:t>
      </w:r>
    </w:p>
    <w:p w:rsidR="000C0FD9" w:rsidRDefault="0020554D">
      <w:pPr>
        <w:pStyle w:val="3"/>
        <w:spacing w:line="360" w:lineRule="auto"/>
        <w:ind w:firstLineChars="200" w:firstLine="640"/>
        <w:rPr>
          <w:rFonts w:ascii="仿宋" w:eastAsia="仿宋" w:hAnsi="仿宋" w:cs="仿宋"/>
          <w:b w:val="0"/>
          <w:sz w:val="32"/>
          <w:szCs w:val="32"/>
        </w:rPr>
      </w:pPr>
      <w:r>
        <w:rPr>
          <w:rFonts w:ascii="仿宋" w:eastAsia="仿宋" w:hAnsi="仿宋" w:cs="仿宋" w:hint="eastAsia"/>
          <w:b w:val="0"/>
          <w:sz w:val="32"/>
          <w:szCs w:val="32"/>
        </w:rPr>
        <w:t>1．</w:t>
      </w:r>
      <w:r>
        <w:rPr>
          <w:rFonts w:ascii="仿宋" w:eastAsia="仿宋" w:hAnsi="仿宋" w:cs="仿宋" w:hint="eastAsia"/>
          <w:b w:val="0"/>
          <w:sz w:val="32"/>
          <w:szCs w:val="32"/>
        </w:rPr>
        <w:t>二</w:t>
      </w:r>
      <w:r>
        <w:rPr>
          <w:rFonts w:ascii="仿宋" w:eastAsia="仿宋" w:hAnsi="仿宋" w:cs="仿宋" w:hint="eastAsia"/>
          <w:b w:val="0"/>
          <w:sz w:val="32"/>
          <w:szCs w:val="32"/>
          <w:vertAlign w:val="subscript"/>
        </w:rPr>
        <w:t>2</w:t>
      </w:r>
      <w:r>
        <w:rPr>
          <w:rFonts w:ascii="仿宋" w:eastAsia="仿宋" w:hAnsi="仿宋" w:cs="仿宋" w:hint="eastAsia"/>
          <w:b w:val="0"/>
          <w:sz w:val="32"/>
          <w:szCs w:val="32"/>
        </w:rPr>
        <w:t>煤层保护层工作面回采期间底板应力演化、裂隙发育和瓦斯运移规律，获取瓦斯富集区域及其相关参数。</w:t>
      </w:r>
    </w:p>
    <w:p w:rsidR="000C0FD9" w:rsidRDefault="0020554D">
      <w:pPr>
        <w:pStyle w:val="3"/>
        <w:spacing w:line="360" w:lineRule="auto"/>
        <w:ind w:firstLineChars="200" w:firstLine="640"/>
        <w:rPr>
          <w:rFonts w:ascii="仿宋" w:eastAsia="仿宋" w:hAnsi="仿宋" w:cs="仿宋"/>
          <w:b w:val="0"/>
          <w:sz w:val="32"/>
          <w:szCs w:val="32"/>
        </w:rPr>
      </w:pPr>
      <w:r>
        <w:rPr>
          <w:rFonts w:ascii="仿宋" w:eastAsia="仿宋" w:hAnsi="仿宋" w:cs="仿宋" w:hint="eastAsia"/>
          <w:b w:val="0"/>
          <w:sz w:val="32"/>
          <w:szCs w:val="32"/>
        </w:rPr>
        <w:t>2．</w:t>
      </w:r>
      <w:r>
        <w:rPr>
          <w:rFonts w:ascii="仿宋" w:eastAsia="仿宋" w:hAnsi="仿宋" w:cs="仿宋" w:hint="eastAsia"/>
          <w:b w:val="0"/>
          <w:sz w:val="32"/>
          <w:szCs w:val="32"/>
        </w:rPr>
        <w:t>考察保护层开采期间，“上三带”和“下三带”变化规律，制定合理底板定向长钻孔施工层位及相关技术参数。</w:t>
      </w:r>
    </w:p>
    <w:p w:rsidR="000C0FD9" w:rsidRDefault="0020554D">
      <w:pPr>
        <w:pStyle w:val="3"/>
        <w:spacing w:line="360" w:lineRule="auto"/>
        <w:ind w:firstLineChars="200" w:firstLine="640"/>
        <w:rPr>
          <w:rFonts w:ascii="仿宋" w:eastAsia="仿宋" w:hAnsi="仿宋" w:cs="仿宋"/>
          <w:b w:val="0"/>
          <w:sz w:val="32"/>
          <w:szCs w:val="32"/>
        </w:rPr>
      </w:pPr>
      <w:r>
        <w:rPr>
          <w:rFonts w:ascii="仿宋" w:eastAsia="仿宋" w:hAnsi="仿宋" w:cs="仿宋" w:hint="eastAsia"/>
          <w:b w:val="0"/>
          <w:sz w:val="32"/>
          <w:szCs w:val="32"/>
        </w:rPr>
        <w:t>3．</w:t>
      </w:r>
      <w:r>
        <w:rPr>
          <w:rFonts w:ascii="仿宋" w:eastAsia="仿宋" w:hAnsi="仿宋" w:cs="仿宋" w:hint="eastAsia"/>
          <w:b w:val="0"/>
          <w:sz w:val="32"/>
          <w:szCs w:val="32"/>
        </w:rPr>
        <w:t>考察底板定向长钻孔施工工艺、技术难题，分析塌孔埋钻、钻孔偏移等问题的主控因素，提出应对措施。</w:t>
      </w:r>
    </w:p>
    <w:p w:rsidR="000C0FD9" w:rsidRDefault="0020554D">
      <w:pPr>
        <w:pStyle w:val="3"/>
        <w:spacing w:line="360" w:lineRule="auto"/>
        <w:ind w:firstLineChars="200" w:firstLine="640"/>
        <w:rPr>
          <w:rFonts w:ascii="仿宋" w:eastAsia="仿宋" w:hAnsi="仿宋" w:cs="仿宋"/>
          <w:b w:val="0"/>
          <w:sz w:val="32"/>
          <w:szCs w:val="32"/>
        </w:rPr>
      </w:pPr>
      <w:r>
        <w:rPr>
          <w:rFonts w:ascii="仿宋" w:eastAsia="仿宋" w:hAnsi="仿宋" w:cs="仿宋" w:hint="eastAsia"/>
          <w:b w:val="0"/>
          <w:sz w:val="32"/>
          <w:szCs w:val="32"/>
        </w:rPr>
        <w:t>4．</w:t>
      </w:r>
      <w:r>
        <w:rPr>
          <w:rFonts w:ascii="仿宋" w:eastAsia="仿宋" w:hAnsi="仿宋" w:cs="仿宋" w:hint="eastAsia"/>
          <w:b w:val="0"/>
          <w:sz w:val="32"/>
          <w:szCs w:val="32"/>
        </w:rPr>
        <w:t>考察底板定向长钻孔抽采量、浓度、流量和抽采曲线等抽采参数动态变化特征，研究采动卸压抽采影响范围，确定抽采半径。</w:t>
      </w:r>
    </w:p>
    <w:p w:rsidR="000C0FD9" w:rsidRDefault="0020554D">
      <w:pPr>
        <w:pStyle w:val="3"/>
        <w:spacing w:line="360" w:lineRule="auto"/>
        <w:ind w:firstLineChars="200" w:firstLine="640"/>
        <w:rPr>
          <w:rFonts w:ascii="仿宋" w:eastAsia="仿宋" w:hAnsi="仿宋" w:cs="仿宋"/>
          <w:b w:val="0"/>
          <w:sz w:val="32"/>
          <w:szCs w:val="32"/>
        </w:rPr>
      </w:pPr>
      <w:r>
        <w:rPr>
          <w:rFonts w:ascii="仿宋" w:eastAsia="仿宋" w:hAnsi="仿宋" w:cs="仿宋" w:hint="eastAsia"/>
          <w:b w:val="0"/>
          <w:sz w:val="32"/>
          <w:szCs w:val="32"/>
        </w:rPr>
        <w:t>5．</w:t>
      </w:r>
      <w:r>
        <w:rPr>
          <w:rFonts w:ascii="仿宋" w:eastAsia="仿宋" w:hAnsi="仿宋" w:cs="仿宋" w:hint="eastAsia"/>
          <w:b w:val="0"/>
          <w:sz w:val="32"/>
          <w:szCs w:val="32"/>
        </w:rPr>
        <w:t>从预抽率、残存瓦斯含量（压力）、钻孔变形量等参数方面，现场跟踪考察底板定向长钻孔瓦斯抽采效果和煤层卸压消突效果，考察卸压角，明确底板定向长钻孔抽采二</w:t>
      </w:r>
      <w:r>
        <w:rPr>
          <w:rFonts w:ascii="仿宋" w:eastAsia="仿宋" w:hAnsi="仿宋" w:cs="仿宋" w:hint="eastAsia"/>
          <w:b w:val="0"/>
          <w:sz w:val="32"/>
          <w:szCs w:val="32"/>
          <w:vertAlign w:val="subscript"/>
        </w:rPr>
        <w:t>1</w:t>
      </w:r>
      <w:r>
        <w:rPr>
          <w:rFonts w:ascii="仿宋" w:eastAsia="仿宋" w:hAnsi="仿宋" w:cs="仿宋" w:hint="eastAsia"/>
          <w:b w:val="0"/>
          <w:sz w:val="32"/>
          <w:szCs w:val="32"/>
        </w:rPr>
        <w:t>煤层卸压瓦斯的有效性和适应性。</w:t>
      </w:r>
    </w:p>
    <w:p w:rsidR="000C0FD9" w:rsidRPr="0020554D" w:rsidRDefault="0020554D" w:rsidP="0020554D">
      <w:pPr>
        <w:widowControl/>
        <w:spacing w:line="360" w:lineRule="auto"/>
        <w:ind w:firstLineChars="200" w:firstLine="640"/>
        <w:jc w:val="left"/>
        <w:rPr>
          <w:rFonts w:ascii="黑体" w:eastAsia="黑体" w:hAnsi="黑体" w:cs="黑体"/>
          <w:kern w:val="0"/>
          <w:sz w:val="32"/>
          <w:szCs w:val="32"/>
        </w:rPr>
      </w:pPr>
      <w:r w:rsidRPr="0020554D">
        <w:rPr>
          <w:rFonts w:ascii="黑体" w:eastAsia="黑体" w:hAnsi="黑体" w:cs="黑体" w:hint="eastAsia"/>
          <w:kern w:val="0"/>
          <w:sz w:val="32"/>
          <w:szCs w:val="32"/>
        </w:rPr>
        <w:t>三、考核指标</w:t>
      </w:r>
    </w:p>
    <w:p w:rsidR="000C0FD9" w:rsidRDefault="0020554D">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1.202</w:t>
      </w:r>
      <w:r>
        <w:rPr>
          <w:rFonts w:ascii="仿宋" w:eastAsia="仿宋" w:hAnsi="仿宋" w:cs="仿宋" w:hint="eastAsia"/>
          <w:kern w:val="0"/>
          <w:sz w:val="32"/>
          <w:szCs w:val="32"/>
        </w:rPr>
        <w:t>5</w:t>
      </w:r>
      <w:r>
        <w:rPr>
          <w:rFonts w:ascii="仿宋" w:eastAsia="仿宋" w:hAnsi="仿宋" w:cs="仿宋" w:hint="eastAsia"/>
          <w:kern w:val="0"/>
          <w:sz w:val="32"/>
          <w:szCs w:val="32"/>
        </w:rPr>
        <w:t>年</w:t>
      </w:r>
      <w:r>
        <w:rPr>
          <w:rFonts w:ascii="仿宋" w:eastAsia="仿宋" w:hAnsi="仿宋" w:cs="仿宋" w:hint="eastAsia"/>
          <w:kern w:val="0"/>
          <w:sz w:val="32"/>
          <w:szCs w:val="32"/>
        </w:rPr>
        <w:t>0</w:t>
      </w:r>
      <w:r>
        <w:rPr>
          <w:rFonts w:ascii="仿宋" w:eastAsia="仿宋" w:hAnsi="仿宋" w:cs="仿宋" w:hint="eastAsia"/>
          <w:kern w:val="0"/>
          <w:sz w:val="32"/>
          <w:szCs w:val="32"/>
        </w:rPr>
        <w:t>5</w:t>
      </w:r>
      <w:r>
        <w:rPr>
          <w:rFonts w:ascii="仿宋" w:eastAsia="仿宋" w:hAnsi="仿宋" w:cs="仿宋" w:hint="eastAsia"/>
          <w:kern w:val="0"/>
          <w:sz w:val="32"/>
          <w:szCs w:val="32"/>
        </w:rPr>
        <w:t>月—</w:t>
      </w:r>
      <w:r>
        <w:rPr>
          <w:rFonts w:ascii="仿宋" w:eastAsia="仿宋" w:hAnsi="仿宋" w:cs="仿宋" w:hint="eastAsia"/>
          <w:kern w:val="0"/>
          <w:sz w:val="32"/>
          <w:szCs w:val="32"/>
        </w:rPr>
        <w:t>202</w:t>
      </w:r>
      <w:r>
        <w:rPr>
          <w:rFonts w:ascii="仿宋" w:eastAsia="仿宋" w:hAnsi="仿宋" w:cs="仿宋" w:hint="eastAsia"/>
          <w:kern w:val="0"/>
          <w:sz w:val="32"/>
          <w:szCs w:val="32"/>
        </w:rPr>
        <w:t>5</w:t>
      </w:r>
      <w:r>
        <w:rPr>
          <w:rFonts w:ascii="仿宋" w:eastAsia="仿宋" w:hAnsi="仿宋" w:cs="仿宋" w:hint="eastAsia"/>
          <w:kern w:val="0"/>
          <w:sz w:val="32"/>
          <w:szCs w:val="32"/>
        </w:rPr>
        <w:t>年</w:t>
      </w:r>
      <w:r>
        <w:rPr>
          <w:rFonts w:ascii="仿宋" w:eastAsia="仿宋" w:hAnsi="仿宋" w:cs="仿宋" w:hint="eastAsia"/>
          <w:kern w:val="0"/>
          <w:sz w:val="32"/>
          <w:szCs w:val="32"/>
        </w:rPr>
        <w:t>07</w:t>
      </w:r>
      <w:r>
        <w:rPr>
          <w:rFonts w:ascii="仿宋" w:eastAsia="仿宋" w:hAnsi="仿宋" w:cs="仿宋" w:hint="eastAsia"/>
          <w:kern w:val="0"/>
          <w:sz w:val="32"/>
          <w:szCs w:val="32"/>
        </w:rPr>
        <w:t>月</w:t>
      </w:r>
    </w:p>
    <w:p w:rsidR="000C0FD9" w:rsidRDefault="0020554D">
      <w:pPr>
        <w:pStyle w:val="3"/>
        <w:spacing w:line="360" w:lineRule="auto"/>
        <w:ind w:firstLineChars="200" w:firstLine="640"/>
        <w:rPr>
          <w:rFonts w:ascii="仿宋" w:eastAsia="仿宋" w:hAnsi="仿宋" w:cs="仿宋"/>
          <w:b w:val="0"/>
          <w:bCs/>
          <w:sz w:val="32"/>
          <w:szCs w:val="32"/>
        </w:rPr>
      </w:pPr>
      <w:r>
        <w:rPr>
          <w:rFonts w:ascii="仿宋" w:eastAsia="仿宋" w:hAnsi="仿宋" w:cs="仿宋" w:hint="eastAsia"/>
          <w:b w:val="0"/>
          <w:bCs/>
          <w:kern w:val="0"/>
          <w:sz w:val="32"/>
          <w:szCs w:val="32"/>
        </w:rPr>
        <w:lastRenderedPageBreak/>
        <w:t>（</w:t>
      </w:r>
      <w:r>
        <w:rPr>
          <w:rFonts w:ascii="仿宋" w:eastAsia="仿宋" w:hAnsi="仿宋" w:cs="仿宋" w:hint="eastAsia"/>
          <w:b w:val="0"/>
          <w:bCs/>
          <w:kern w:val="0"/>
          <w:sz w:val="32"/>
          <w:szCs w:val="32"/>
        </w:rPr>
        <w:t>1</w:t>
      </w:r>
      <w:r>
        <w:rPr>
          <w:rFonts w:ascii="仿宋" w:eastAsia="仿宋" w:hAnsi="仿宋" w:cs="仿宋" w:hint="eastAsia"/>
          <w:b w:val="0"/>
          <w:bCs/>
          <w:kern w:val="0"/>
          <w:sz w:val="32"/>
          <w:szCs w:val="32"/>
        </w:rPr>
        <w:t>）</w:t>
      </w:r>
      <w:r>
        <w:rPr>
          <w:rFonts w:ascii="仿宋" w:eastAsia="仿宋" w:hAnsi="仿宋" w:cs="仿宋" w:hint="eastAsia"/>
          <w:b w:val="0"/>
          <w:bCs/>
          <w:sz w:val="32"/>
          <w:szCs w:val="32"/>
        </w:rPr>
        <w:t>二</w:t>
      </w:r>
      <w:r>
        <w:rPr>
          <w:rFonts w:ascii="仿宋" w:eastAsia="仿宋" w:hAnsi="仿宋" w:cs="仿宋" w:hint="eastAsia"/>
          <w:b w:val="0"/>
          <w:bCs/>
          <w:sz w:val="32"/>
          <w:szCs w:val="32"/>
          <w:vertAlign w:val="subscript"/>
        </w:rPr>
        <w:t>2</w:t>
      </w:r>
      <w:r>
        <w:rPr>
          <w:rFonts w:ascii="仿宋" w:eastAsia="仿宋" w:hAnsi="仿宋" w:cs="仿宋" w:hint="eastAsia"/>
          <w:b w:val="0"/>
          <w:bCs/>
          <w:sz w:val="32"/>
          <w:szCs w:val="32"/>
        </w:rPr>
        <w:t>煤层保护层工作面回采期间底板应力演化、裂隙发育和瓦斯运移规律，获取瓦斯富集区域及其相关参数。</w:t>
      </w:r>
    </w:p>
    <w:p w:rsidR="000C0FD9" w:rsidRDefault="0020554D">
      <w:pPr>
        <w:pStyle w:val="3"/>
        <w:spacing w:line="360" w:lineRule="auto"/>
        <w:ind w:firstLineChars="200" w:firstLine="640"/>
        <w:rPr>
          <w:rFonts w:ascii="仿宋" w:eastAsia="仿宋" w:hAnsi="仿宋" w:cs="仿宋"/>
          <w:b w:val="0"/>
          <w:bCs/>
          <w:sz w:val="32"/>
          <w:szCs w:val="32"/>
        </w:rPr>
      </w:pPr>
      <w:r>
        <w:rPr>
          <w:rFonts w:ascii="仿宋" w:eastAsia="仿宋" w:hAnsi="仿宋" w:cs="仿宋" w:hint="eastAsia"/>
          <w:b w:val="0"/>
          <w:bCs/>
          <w:sz w:val="32"/>
          <w:szCs w:val="32"/>
        </w:rPr>
        <w:t>（</w:t>
      </w:r>
      <w:r>
        <w:rPr>
          <w:rFonts w:ascii="仿宋" w:eastAsia="仿宋" w:hAnsi="仿宋" w:cs="仿宋" w:hint="eastAsia"/>
          <w:b w:val="0"/>
          <w:bCs/>
          <w:sz w:val="32"/>
          <w:szCs w:val="32"/>
        </w:rPr>
        <w:t>2</w:t>
      </w:r>
      <w:r>
        <w:rPr>
          <w:rFonts w:ascii="仿宋" w:eastAsia="仿宋" w:hAnsi="仿宋" w:cs="仿宋" w:hint="eastAsia"/>
          <w:b w:val="0"/>
          <w:bCs/>
          <w:sz w:val="32"/>
          <w:szCs w:val="32"/>
        </w:rPr>
        <w:t>）</w:t>
      </w:r>
      <w:r>
        <w:rPr>
          <w:rFonts w:ascii="仿宋" w:eastAsia="仿宋" w:hAnsi="仿宋" w:cs="仿宋" w:hint="eastAsia"/>
          <w:b w:val="0"/>
          <w:bCs/>
          <w:sz w:val="32"/>
          <w:szCs w:val="32"/>
        </w:rPr>
        <w:t>考察保护层开采期间，“上三带”和“下三带”变化规律，制定合理底板定向长钻孔施工层位及相关技术参数。</w:t>
      </w:r>
    </w:p>
    <w:p w:rsidR="000C0FD9" w:rsidRDefault="0020554D">
      <w:pPr>
        <w:pStyle w:val="3"/>
        <w:spacing w:line="360" w:lineRule="auto"/>
        <w:ind w:firstLineChars="200" w:firstLine="640"/>
        <w:rPr>
          <w:rFonts w:ascii="仿宋" w:eastAsia="仿宋" w:hAnsi="仿宋" w:cs="仿宋"/>
          <w:b w:val="0"/>
          <w:bCs/>
          <w:sz w:val="32"/>
          <w:szCs w:val="32"/>
        </w:rPr>
      </w:pPr>
      <w:r>
        <w:rPr>
          <w:rFonts w:ascii="仿宋" w:eastAsia="仿宋" w:hAnsi="仿宋" w:cs="仿宋" w:hint="eastAsia"/>
          <w:b w:val="0"/>
          <w:bCs/>
          <w:sz w:val="32"/>
          <w:szCs w:val="32"/>
        </w:rPr>
        <w:t>（</w:t>
      </w:r>
      <w:r>
        <w:rPr>
          <w:rFonts w:ascii="仿宋" w:eastAsia="仿宋" w:hAnsi="仿宋" w:cs="仿宋" w:hint="eastAsia"/>
          <w:b w:val="0"/>
          <w:bCs/>
          <w:sz w:val="32"/>
          <w:szCs w:val="32"/>
        </w:rPr>
        <w:t>3</w:t>
      </w:r>
      <w:r>
        <w:rPr>
          <w:rFonts w:ascii="仿宋" w:eastAsia="仿宋" w:hAnsi="仿宋" w:cs="仿宋" w:hint="eastAsia"/>
          <w:b w:val="0"/>
          <w:bCs/>
          <w:sz w:val="32"/>
          <w:szCs w:val="32"/>
        </w:rPr>
        <w:t>）</w:t>
      </w:r>
      <w:r>
        <w:rPr>
          <w:rFonts w:ascii="仿宋" w:eastAsia="仿宋" w:hAnsi="仿宋" w:cs="仿宋" w:hint="eastAsia"/>
          <w:b w:val="0"/>
          <w:bCs/>
          <w:sz w:val="32"/>
          <w:szCs w:val="32"/>
        </w:rPr>
        <w:t>考察底板定向长钻孔施工工艺、技术难题，分析塌孔埋钻、钻孔偏移等问题的主控因素，提出应对措施。</w:t>
      </w:r>
    </w:p>
    <w:p w:rsidR="000C0FD9" w:rsidRDefault="0020554D">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2.2025</w:t>
      </w:r>
      <w:r>
        <w:rPr>
          <w:rFonts w:ascii="仿宋" w:eastAsia="仿宋" w:hAnsi="仿宋" w:cs="仿宋" w:hint="eastAsia"/>
          <w:kern w:val="0"/>
          <w:sz w:val="32"/>
          <w:szCs w:val="32"/>
        </w:rPr>
        <w:t>年</w:t>
      </w:r>
      <w:r>
        <w:rPr>
          <w:rFonts w:ascii="仿宋" w:eastAsia="仿宋" w:hAnsi="仿宋" w:cs="仿宋" w:hint="eastAsia"/>
          <w:kern w:val="0"/>
          <w:sz w:val="32"/>
          <w:szCs w:val="32"/>
        </w:rPr>
        <w:t>08</w:t>
      </w:r>
      <w:r>
        <w:rPr>
          <w:rFonts w:ascii="仿宋" w:eastAsia="仿宋" w:hAnsi="仿宋" w:cs="仿宋" w:hint="eastAsia"/>
          <w:kern w:val="0"/>
          <w:sz w:val="32"/>
          <w:szCs w:val="32"/>
        </w:rPr>
        <w:t>月—</w:t>
      </w:r>
      <w:r>
        <w:rPr>
          <w:rFonts w:ascii="仿宋" w:eastAsia="仿宋" w:hAnsi="仿宋" w:cs="仿宋" w:hint="eastAsia"/>
          <w:kern w:val="0"/>
          <w:sz w:val="32"/>
          <w:szCs w:val="32"/>
        </w:rPr>
        <w:t>2025</w:t>
      </w:r>
      <w:r>
        <w:rPr>
          <w:rFonts w:ascii="仿宋" w:eastAsia="仿宋" w:hAnsi="仿宋" w:cs="仿宋" w:hint="eastAsia"/>
          <w:kern w:val="0"/>
          <w:sz w:val="32"/>
          <w:szCs w:val="32"/>
        </w:rPr>
        <w:t>年</w:t>
      </w:r>
      <w:r>
        <w:rPr>
          <w:rFonts w:ascii="仿宋" w:eastAsia="仿宋" w:hAnsi="仿宋" w:cs="仿宋" w:hint="eastAsia"/>
          <w:kern w:val="0"/>
          <w:sz w:val="32"/>
          <w:szCs w:val="32"/>
        </w:rPr>
        <w:t>10</w:t>
      </w:r>
      <w:r>
        <w:rPr>
          <w:rFonts w:ascii="仿宋" w:eastAsia="仿宋" w:hAnsi="仿宋" w:cs="仿宋" w:hint="eastAsia"/>
          <w:kern w:val="0"/>
          <w:sz w:val="32"/>
          <w:szCs w:val="32"/>
        </w:rPr>
        <w:t>月</w:t>
      </w:r>
    </w:p>
    <w:p w:rsidR="000C0FD9" w:rsidRDefault="0020554D">
      <w:pPr>
        <w:pStyle w:val="3"/>
        <w:spacing w:line="360" w:lineRule="auto"/>
        <w:ind w:firstLineChars="200" w:firstLine="640"/>
        <w:rPr>
          <w:rFonts w:ascii="仿宋" w:eastAsia="仿宋" w:hAnsi="仿宋" w:cs="仿宋"/>
          <w:b w:val="0"/>
          <w:sz w:val="32"/>
          <w:szCs w:val="32"/>
        </w:rPr>
      </w:pPr>
      <w:r>
        <w:rPr>
          <w:rFonts w:ascii="仿宋" w:eastAsia="仿宋" w:hAnsi="仿宋" w:cs="仿宋" w:hint="eastAsia"/>
          <w:b w:val="0"/>
          <w:sz w:val="32"/>
          <w:szCs w:val="32"/>
        </w:rPr>
        <w:t>（</w:t>
      </w:r>
      <w:r>
        <w:rPr>
          <w:rFonts w:ascii="仿宋" w:eastAsia="仿宋" w:hAnsi="仿宋" w:cs="仿宋" w:hint="eastAsia"/>
          <w:b w:val="0"/>
          <w:sz w:val="32"/>
          <w:szCs w:val="32"/>
        </w:rPr>
        <w:t>1</w:t>
      </w:r>
      <w:r>
        <w:rPr>
          <w:rFonts w:ascii="仿宋" w:eastAsia="仿宋" w:hAnsi="仿宋" w:cs="仿宋" w:hint="eastAsia"/>
          <w:b w:val="0"/>
          <w:sz w:val="32"/>
          <w:szCs w:val="32"/>
        </w:rPr>
        <w:t>）</w:t>
      </w:r>
      <w:r>
        <w:rPr>
          <w:rFonts w:ascii="仿宋" w:eastAsia="仿宋" w:hAnsi="仿宋" w:cs="仿宋" w:hint="eastAsia"/>
          <w:b w:val="0"/>
          <w:sz w:val="32"/>
          <w:szCs w:val="32"/>
        </w:rPr>
        <w:t>考察底板定向长钻孔抽采量、浓度、流量和抽采曲线等抽采参数动态变化特征，研究采动卸压抽采影响范围，确定抽采半径。</w:t>
      </w:r>
    </w:p>
    <w:p w:rsidR="000C0FD9" w:rsidRDefault="0020554D">
      <w:pPr>
        <w:pStyle w:val="3"/>
        <w:spacing w:line="360" w:lineRule="auto"/>
        <w:ind w:firstLineChars="200" w:firstLine="640"/>
        <w:rPr>
          <w:rFonts w:ascii="仿宋" w:eastAsia="仿宋" w:hAnsi="仿宋" w:cs="仿宋"/>
          <w:b w:val="0"/>
          <w:sz w:val="32"/>
          <w:szCs w:val="32"/>
        </w:rPr>
      </w:pPr>
      <w:r>
        <w:rPr>
          <w:rFonts w:ascii="仿宋" w:eastAsia="仿宋" w:hAnsi="仿宋" w:cs="仿宋" w:hint="eastAsia"/>
          <w:b w:val="0"/>
          <w:sz w:val="32"/>
          <w:szCs w:val="32"/>
        </w:rPr>
        <w:t>（</w:t>
      </w:r>
      <w:r>
        <w:rPr>
          <w:rFonts w:ascii="仿宋" w:eastAsia="仿宋" w:hAnsi="仿宋" w:cs="仿宋" w:hint="eastAsia"/>
          <w:b w:val="0"/>
          <w:sz w:val="32"/>
          <w:szCs w:val="32"/>
        </w:rPr>
        <w:t>2</w:t>
      </w:r>
      <w:r>
        <w:rPr>
          <w:rFonts w:ascii="仿宋" w:eastAsia="仿宋" w:hAnsi="仿宋" w:cs="仿宋" w:hint="eastAsia"/>
          <w:b w:val="0"/>
          <w:sz w:val="32"/>
          <w:szCs w:val="32"/>
        </w:rPr>
        <w:t>）</w:t>
      </w:r>
      <w:r>
        <w:rPr>
          <w:rFonts w:ascii="仿宋" w:eastAsia="仿宋" w:hAnsi="仿宋" w:cs="仿宋" w:hint="eastAsia"/>
          <w:b w:val="0"/>
          <w:sz w:val="32"/>
          <w:szCs w:val="32"/>
        </w:rPr>
        <w:t>从预抽率、残存瓦斯含量（压力）、钻孔变形量等参数方面，现场跟踪考察底板定向长钻孔瓦斯抽采效果和煤层卸压消突效果，考察卸压角，明确底板定向长钻孔抽采二</w:t>
      </w:r>
      <w:r>
        <w:rPr>
          <w:rFonts w:ascii="仿宋" w:eastAsia="仿宋" w:hAnsi="仿宋" w:cs="仿宋" w:hint="eastAsia"/>
          <w:b w:val="0"/>
          <w:sz w:val="32"/>
          <w:szCs w:val="32"/>
          <w:vertAlign w:val="subscript"/>
        </w:rPr>
        <w:t>1</w:t>
      </w:r>
      <w:r>
        <w:rPr>
          <w:rFonts w:ascii="仿宋" w:eastAsia="仿宋" w:hAnsi="仿宋" w:cs="仿宋" w:hint="eastAsia"/>
          <w:b w:val="0"/>
          <w:sz w:val="32"/>
          <w:szCs w:val="32"/>
        </w:rPr>
        <w:t>煤层卸压瓦斯的有效性和适应性。</w:t>
      </w:r>
    </w:p>
    <w:p w:rsidR="000C0FD9" w:rsidRDefault="0020554D">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3.2025</w:t>
      </w:r>
      <w:r>
        <w:rPr>
          <w:rFonts w:ascii="仿宋" w:eastAsia="仿宋" w:hAnsi="仿宋" w:cs="仿宋" w:hint="eastAsia"/>
          <w:kern w:val="0"/>
          <w:sz w:val="32"/>
          <w:szCs w:val="32"/>
        </w:rPr>
        <w:t>年</w:t>
      </w:r>
      <w:r>
        <w:rPr>
          <w:rFonts w:ascii="仿宋" w:eastAsia="仿宋" w:hAnsi="仿宋" w:cs="仿宋" w:hint="eastAsia"/>
          <w:kern w:val="0"/>
          <w:sz w:val="32"/>
          <w:szCs w:val="32"/>
        </w:rPr>
        <w:t>11</w:t>
      </w:r>
      <w:r>
        <w:rPr>
          <w:rFonts w:ascii="仿宋" w:eastAsia="仿宋" w:hAnsi="仿宋" w:cs="仿宋" w:hint="eastAsia"/>
          <w:kern w:val="0"/>
          <w:sz w:val="32"/>
          <w:szCs w:val="32"/>
        </w:rPr>
        <w:t>月—</w:t>
      </w:r>
      <w:r>
        <w:rPr>
          <w:rFonts w:ascii="仿宋" w:eastAsia="仿宋" w:hAnsi="仿宋" w:cs="仿宋" w:hint="eastAsia"/>
          <w:kern w:val="0"/>
          <w:sz w:val="32"/>
          <w:szCs w:val="32"/>
        </w:rPr>
        <w:t>2025</w:t>
      </w:r>
      <w:r>
        <w:rPr>
          <w:rFonts w:ascii="仿宋" w:eastAsia="仿宋" w:hAnsi="仿宋" w:cs="仿宋" w:hint="eastAsia"/>
          <w:kern w:val="0"/>
          <w:sz w:val="32"/>
          <w:szCs w:val="32"/>
        </w:rPr>
        <w:t>年</w:t>
      </w:r>
      <w:r>
        <w:rPr>
          <w:rFonts w:ascii="仿宋" w:eastAsia="仿宋" w:hAnsi="仿宋" w:cs="仿宋" w:hint="eastAsia"/>
          <w:kern w:val="0"/>
          <w:sz w:val="32"/>
          <w:szCs w:val="32"/>
        </w:rPr>
        <w:t>12</w:t>
      </w:r>
      <w:r>
        <w:rPr>
          <w:rFonts w:ascii="仿宋" w:eastAsia="仿宋" w:hAnsi="仿宋" w:cs="仿宋" w:hint="eastAsia"/>
          <w:kern w:val="0"/>
          <w:sz w:val="32"/>
          <w:szCs w:val="32"/>
        </w:rPr>
        <w:t>月</w:t>
      </w:r>
    </w:p>
    <w:p w:rsidR="000C0FD9" w:rsidRDefault="0020554D">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课题总结。完成数据处理方法研究与成果解释并形成研究报告。</w:t>
      </w:r>
    </w:p>
    <w:p w:rsidR="000C0FD9" w:rsidRDefault="0020554D">
      <w:pPr>
        <w:pStyle w:val="a8"/>
        <w:widowControl/>
        <w:numPr>
          <w:ilvl w:val="0"/>
          <w:numId w:val="1"/>
        </w:numPr>
        <w:spacing w:line="360" w:lineRule="auto"/>
        <w:ind w:firstLineChars="0"/>
        <w:jc w:val="left"/>
        <w:rPr>
          <w:rFonts w:ascii="黑体" w:eastAsia="黑体" w:hAnsi="黑体" w:cs="黑体"/>
          <w:kern w:val="0"/>
          <w:sz w:val="32"/>
          <w:szCs w:val="32"/>
        </w:rPr>
      </w:pPr>
      <w:r>
        <w:rPr>
          <w:rFonts w:ascii="黑体" w:eastAsia="黑体" w:hAnsi="黑体" w:cs="黑体" w:hint="eastAsia"/>
          <w:kern w:val="0"/>
          <w:sz w:val="32"/>
          <w:szCs w:val="32"/>
        </w:rPr>
        <w:t>实施期限</w:t>
      </w:r>
    </w:p>
    <w:p w:rsidR="000C0FD9" w:rsidRDefault="0020554D">
      <w:pPr>
        <w:widowControl/>
        <w:spacing w:line="360" w:lineRule="auto"/>
        <w:ind w:left="640"/>
        <w:jc w:val="left"/>
        <w:rPr>
          <w:rFonts w:ascii="黑体" w:eastAsia="黑体" w:hAnsi="黑体" w:cs="黑体"/>
          <w:kern w:val="0"/>
          <w:sz w:val="32"/>
          <w:szCs w:val="32"/>
        </w:rPr>
      </w:pPr>
      <w:r>
        <w:rPr>
          <w:rFonts w:ascii="仿宋" w:eastAsia="仿宋" w:hAnsi="仿宋" w:cs="仿宋" w:hint="eastAsia"/>
          <w:bCs/>
          <w:sz w:val="32"/>
          <w:szCs w:val="32"/>
        </w:rPr>
        <w:t>实施期限不超过</w:t>
      </w:r>
      <w:r>
        <w:rPr>
          <w:rFonts w:ascii="仿宋" w:eastAsia="仿宋" w:hAnsi="仿宋" w:cs="仿宋" w:hint="eastAsia"/>
          <w:bCs/>
          <w:sz w:val="32"/>
          <w:szCs w:val="32"/>
        </w:rPr>
        <w:t>1</w:t>
      </w:r>
      <w:r>
        <w:rPr>
          <w:rFonts w:ascii="仿宋" w:eastAsia="仿宋" w:hAnsi="仿宋" w:cs="仿宋" w:hint="eastAsia"/>
          <w:bCs/>
          <w:sz w:val="32"/>
          <w:szCs w:val="32"/>
        </w:rPr>
        <w:t>年。</w:t>
      </w:r>
    </w:p>
    <w:p w:rsidR="000C0FD9" w:rsidRDefault="0020554D">
      <w:pPr>
        <w:widowControl/>
        <w:numPr>
          <w:ilvl w:val="0"/>
          <w:numId w:val="2"/>
        </w:numPr>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榜单限额</w:t>
      </w:r>
    </w:p>
    <w:p w:rsidR="000C0FD9" w:rsidRDefault="0020554D">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委外研究费用不超过</w:t>
      </w:r>
      <w:r>
        <w:rPr>
          <w:rFonts w:ascii="仿宋" w:eastAsia="仿宋" w:hAnsi="仿宋" w:cs="仿宋" w:hint="eastAsia"/>
          <w:kern w:val="0"/>
          <w:sz w:val="32"/>
          <w:szCs w:val="32"/>
        </w:rPr>
        <w:t>80</w:t>
      </w:r>
      <w:r>
        <w:rPr>
          <w:rFonts w:ascii="仿宋" w:eastAsia="仿宋" w:hAnsi="仿宋" w:cs="仿宋" w:hint="eastAsia"/>
          <w:kern w:val="0"/>
          <w:sz w:val="32"/>
          <w:szCs w:val="32"/>
        </w:rPr>
        <w:t>万元。</w:t>
      </w:r>
    </w:p>
    <w:p w:rsidR="000C0FD9" w:rsidRDefault="0020554D">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lastRenderedPageBreak/>
        <w:t>六、揭榜方条件</w:t>
      </w:r>
    </w:p>
    <w:p w:rsidR="000C0FD9" w:rsidRDefault="0020554D">
      <w:pPr>
        <w:widowControl/>
        <w:snapToGrid w:val="0"/>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kern w:val="0"/>
          <w:sz w:val="32"/>
          <w:szCs w:val="32"/>
        </w:rPr>
        <w:t>揭榜方所在单位具备良好的工作基础、实验条件和科研环境，有较强的研发实力、科研条件和稳定的人员队伍等，有能力完成张榜任务；具有良好的科研道德和社会诚信，近</w:t>
      </w:r>
      <w:r>
        <w:rPr>
          <w:rFonts w:ascii="仿宋" w:eastAsia="仿宋" w:hAnsi="仿宋" w:cs="仿宋"/>
          <w:kern w:val="0"/>
          <w:sz w:val="32"/>
          <w:szCs w:val="32"/>
        </w:rPr>
        <w:t>3</w:t>
      </w:r>
      <w:r>
        <w:rPr>
          <w:rFonts w:ascii="仿宋" w:eastAsia="仿宋" w:hAnsi="仿宋" w:cs="仿宋"/>
          <w:kern w:val="0"/>
          <w:sz w:val="32"/>
          <w:szCs w:val="32"/>
        </w:rPr>
        <w:t>年内无不良信用记录；一般近五年内应承担过国家和省、行业重点科技攻关项目</w:t>
      </w:r>
      <w:r>
        <w:rPr>
          <w:rFonts w:ascii="仿宋" w:eastAsia="仿宋" w:hAnsi="仿宋" w:cs="仿宋"/>
          <w:kern w:val="0"/>
          <w:sz w:val="32"/>
          <w:szCs w:val="32"/>
        </w:rPr>
        <w:t>1</w:t>
      </w:r>
      <w:r>
        <w:rPr>
          <w:rFonts w:ascii="仿宋" w:eastAsia="仿宋" w:hAnsi="仿宋" w:cs="仿宋"/>
          <w:kern w:val="0"/>
          <w:sz w:val="32"/>
          <w:szCs w:val="32"/>
        </w:rPr>
        <w:t>项，或取得过国家和省部级、行业级科学技术奖</w:t>
      </w:r>
      <w:r>
        <w:rPr>
          <w:rFonts w:ascii="仿宋" w:eastAsia="仿宋" w:hAnsi="仿宋" w:cs="仿宋"/>
          <w:kern w:val="0"/>
          <w:sz w:val="32"/>
          <w:szCs w:val="32"/>
        </w:rPr>
        <w:t>1</w:t>
      </w:r>
      <w:r>
        <w:rPr>
          <w:rFonts w:ascii="仿宋" w:eastAsia="仿宋" w:hAnsi="仿宋" w:cs="仿宋"/>
          <w:kern w:val="0"/>
          <w:sz w:val="32"/>
          <w:szCs w:val="32"/>
        </w:rPr>
        <w:t>项，并具有一定的持续发展能力。</w:t>
      </w:r>
    </w:p>
    <w:p w:rsidR="000C0FD9" w:rsidRDefault="0020554D">
      <w:pPr>
        <w:widowControl/>
        <w:snapToGrid w:val="0"/>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kern w:val="0"/>
          <w:sz w:val="32"/>
          <w:szCs w:val="32"/>
        </w:rPr>
        <w:t>揭榜方挂帅者实行</w:t>
      </w:r>
      <w:r>
        <w:rPr>
          <w:rFonts w:ascii="仿宋" w:eastAsia="仿宋" w:hAnsi="仿宋" w:cs="仿宋"/>
          <w:kern w:val="0"/>
          <w:sz w:val="32"/>
          <w:szCs w:val="32"/>
        </w:rPr>
        <w:t>“</w:t>
      </w:r>
      <w:r>
        <w:rPr>
          <w:rFonts w:ascii="仿宋" w:eastAsia="仿宋" w:hAnsi="仿宋" w:cs="仿宋"/>
          <w:kern w:val="0"/>
          <w:sz w:val="32"/>
          <w:szCs w:val="32"/>
        </w:rPr>
        <w:t>谁有能力谁就揭榜挂帅</w:t>
      </w:r>
      <w:r>
        <w:rPr>
          <w:rFonts w:ascii="仿宋" w:eastAsia="仿宋" w:hAnsi="仿宋" w:cs="仿宋"/>
          <w:kern w:val="0"/>
          <w:sz w:val="32"/>
          <w:szCs w:val="32"/>
        </w:rPr>
        <w:t>”</w:t>
      </w:r>
      <w:r>
        <w:rPr>
          <w:rFonts w:ascii="仿宋" w:eastAsia="仿宋" w:hAnsi="仿宋" w:cs="仿宋"/>
          <w:kern w:val="0"/>
          <w:sz w:val="32"/>
          <w:szCs w:val="32"/>
        </w:rPr>
        <w:t>的原则。挂帅者作为研发团队带头人，无年龄、学历和职称要求，但应在相关学科技术领域中已取得较为突出的创新成果，有良好的科学道德和严谨的学风，能对张榜项目需求给出攻克关键</w:t>
      </w:r>
      <w:r>
        <w:rPr>
          <w:rFonts w:ascii="仿宋" w:eastAsia="仿宋" w:hAnsi="仿宋" w:cs="仿宋"/>
          <w:kern w:val="0"/>
          <w:sz w:val="32"/>
          <w:szCs w:val="32"/>
        </w:rPr>
        <w:t>核心技术的可行方案，掌握自主知识产权，对本学科领域的发展具有重要推动作用，有时间和精力从事揭榜项目研究工作。</w:t>
      </w:r>
    </w:p>
    <w:p w:rsidR="000C0FD9" w:rsidRDefault="0020554D">
      <w:pPr>
        <w:widowControl/>
        <w:spacing w:line="360" w:lineRule="auto"/>
        <w:ind w:firstLineChars="200" w:firstLine="640"/>
        <w:rPr>
          <w:rFonts w:ascii="仿宋" w:eastAsia="仿宋" w:hAnsi="仿宋" w:cs="仿宋"/>
          <w:bCs/>
          <w:sz w:val="32"/>
          <w:szCs w:val="32"/>
        </w:rPr>
      </w:pPr>
      <w:r>
        <w:rPr>
          <w:rFonts w:ascii="仿宋" w:eastAsia="仿宋" w:hAnsi="仿宋" w:cs="仿宋" w:hint="eastAsia"/>
          <w:kern w:val="0"/>
          <w:sz w:val="32"/>
          <w:szCs w:val="32"/>
        </w:rPr>
        <w:t>3.</w:t>
      </w:r>
      <w:r>
        <w:rPr>
          <w:rFonts w:ascii="仿宋" w:eastAsia="仿宋" w:hAnsi="仿宋" w:cs="仿宋" w:hint="eastAsia"/>
          <w:bCs/>
          <w:sz w:val="32"/>
          <w:szCs w:val="32"/>
        </w:rPr>
        <w:t>揭榜方参与本项目的科研团队除挂帅者之外一般应有至少</w:t>
      </w:r>
      <w:r>
        <w:rPr>
          <w:rFonts w:ascii="仿宋" w:eastAsia="仿宋" w:hAnsi="仿宋" w:cs="仿宋" w:hint="eastAsia"/>
          <w:bCs/>
          <w:sz w:val="32"/>
          <w:szCs w:val="32"/>
        </w:rPr>
        <w:t>1</w:t>
      </w:r>
      <w:r>
        <w:rPr>
          <w:rFonts w:ascii="仿宋" w:eastAsia="仿宋" w:hAnsi="仿宋" w:cs="仿宋" w:hint="eastAsia"/>
          <w:bCs/>
          <w:sz w:val="32"/>
          <w:szCs w:val="32"/>
        </w:rPr>
        <w:t>名副高级职称或博士学位的核心人员（特别优秀创新人才不受限制），专业结构合理。团队研究方向和主要研究课题符合</w:t>
      </w:r>
      <w:r>
        <w:rPr>
          <w:rFonts w:ascii="仿宋" w:eastAsia="仿宋" w:hAnsi="仿宋" w:cs="仿宋"/>
          <w:kern w:val="0"/>
          <w:sz w:val="32"/>
          <w:szCs w:val="32"/>
        </w:rPr>
        <w:t>公司发展领域</w:t>
      </w:r>
      <w:r>
        <w:rPr>
          <w:rFonts w:ascii="仿宋" w:eastAsia="仿宋" w:hAnsi="仿宋" w:cs="仿宋" w:hint="eastAsia"/>
          <w:kern w:val="0"/>
          <w:sz w:val="32"/>
          <w:szCs w:val="32"/>
        </w:rPr>
        <w:t>、</w:t>
      </w:r>
      <w:r>
        <w:rPr>
          <w:rFonts w:ascii="仿宋" w:eastAsia="仿宋" w:hAnsi="仿宋" w:cs="仿宋"/>
          <w:kern w:val="0"/>
          <w:sz w:val="32"/>
          <w:szCs w:val="32"/>
        </w:rPr>
        <w:t>优势产业发展</w:t>
      </w:r>
      <w:r>
        <w:rPr>
          <w:rFonts w:ascii="仿宋" w:eastAsia="仿宋" w:hAnsi="仿宋" w:cs="仿宋" w:hint="eastAsia"/>
          <w:kern w:val="0"/>
          <w:sz w:val="32"/>
          <w:szCs w:val="32"/>
        </w:rPr>
        <w:t>以及</w:t>
      </w:r>
      <w:r>
        <w:rPr>
          <w:rFonts w:ascii="仿宋" w:eastAsia="仿宋" w:hAnsi="仿宋" w:cs="仿宋" w:hint="eastAsia"/>
          <w:bCs/>
          <w:sz w:val="32"/>
          <w:szCs w:val="32"/>
        </w:rPr>
        <w:t>本项目要求，已取得突出成绩或具有明显的创新潜力。</w:t>
      </w:r>
    </w:p>
    <w:p w:rsidR="000C0FD9" w:rsidRDefault="0020554D">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w:t>
      </w:r>
      <w:r>
        <w:rPr>
          <w:rFonts w:ascii="仿宋" w:eastAsia="仿宋" w:hAnsi="仿宋" w:cs="仿宋" w:hint="eastAsia"/>
          <w:bCs/>
          <w:sz w:val="32"/>
          <w:szCs w:val="32"/>
        </w:rPr>
        <w:t>揭榜方</w:t>
      </w:r>
      <w:r>
        <w:rPr>
          <w:rFonts w:ascii="仿宋" w:eastAsia="仿宋" w:hAnsi="仿宋" w:cs="仿宋" w:hint="eastAsia"/>
          <w:kern w:val="0"/>
          <w:sz w:val="32"/>
          <w:szCs w:val="32"/>
        </w:rPr>
        <w:t>具有成果转化的技术支撑队伍与相关经验，能够提供长期可持续的跟踪维护及技术支持，协助发榜方完成技术应用落地实施。</w:t>
      </w:r>
    </w:p>
    <w:p w:rsidR="000C0FD9" w:rsidRDefault="0020554D">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lastRenderedPageBreak/>
        <w:t>七、知识产权归属及利益分配</w:t>
      </w:r>
    </w:p>
    <w:p w:rsidR="000C0FD9" w:rsidRDefault="0020554D">
      <w:pPr>
        <w:pStyle w:val="a8"/>
        <w:spacing w:line="360" w:lineRule="auto"/>
        <w:ind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专利或软著：第一完成单位为义马煤业集团股份有限公司及其所属单位。</w:t>
      </w:r>
    </w:p>
    <w:p w:rsidR="000C0FD9" w:rsidRDefault="0020554D">
      <w:pPr>
        <w:pStyle w:val="a8"/>
        <w:spacing w:line="360" w:lineRule="auto"/>
        <w:ind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论文：第一作者为义马煤业集团股份有限公司及其所属单位人员。</w:t>
      </w:r>
    </w:p>
    <w:p w:rsidR="000C0FD9" w:rsidRDefault="0020554D">
      <w:pPr>
        <w:pStyle w:val="a8"/>
        <w:spacing w:line="360" w:lineRule="auto"/>
        <w:ind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科技成果：鉴定成果的第一完成单位为义马煤业集团股份有限公司及其所属单位，完成人员名次可协商确定。</w:t>
      </w:r>
    </w:p>
    <w:p w:rsidR="000C0FD9" w:rsidRDefault="0020554D">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本项目中的知识产权以后所产生的利益均归属义马煤业集团股份有限公司及其所属单位。</w:t>
      </w:r>
    </w:p>
    <w:p w:rsidR="000C0FD9" w:rsidRDefault="0020554D">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八、预期成果</w:t>
      </w:r>
    </w:p>
    <w:p w:rsidR="000C0FD9" w:rsidRDefault="0020554D">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kern w:val="0"/>
          <w:sz w:val="32"/>
          <w:szCs w:val="32"/>
        </w:rPr>
        <w:t>.</w:t>
      </w:r>
      <w:r>
        <w:rPr>
          <w:rFonts w:ascii="仿宋" w:eastAsia="仿宋" w:hAnsi="仿宋" w:cs="仿宋" w:hint="eastAsia"/>
          <w:bCs/>
          <w:sz w:val="32"/>
          <w:szCs w:val="32"/>
        </w:rPr>
        <w:t>研发二</w:t>
      </w:r>
      <w:r>
        <w:rPr>
          <w:rFonts w:ascii="仿宋" w:eastAsia="仿宋" w:hAnsi="仿宋" w:cs="仿宋" w:hint="eastAsia"/>
          <w:bCs/>
          <w:sz w:val="32"/>
          <w:szCs w:val="32"/>
          <w:vertAlign w:val="subscript"/>
        </w:rPr>
        <w:t>2</w:t>
      </w:r>
      <w:r>
        <w:rPr>
          <w:rFonts w:ascii="仿宋" w:eastAsia="仿宋" w:hAnsi="仿宋" w:cs="仿宋" w:hint="eastAsia"/>
          <w:bCs/>
          <w:sz w:val="32"/>
          <w:szCs w:val="32"/>
        </w:rPr>
        <w:t>煤层保护层底板定向长钻孔高效抽采二</w:t>
      </w:r>
      <w:r>
        <w:rPr>
          <w:rFonts w:ascii="仿宋" w:eastAsia="仿宋" w:hAnsi="仿宋" w:cs="仿宋" w:hint="eastAsia"/>
          <w:bCs/>
          <w:sz w:val="32"/>
          <w:szCs w:val="32"/>
          <w:vertAlign w:val="subscript"/>
        </w:rPr>
        <w:t>1</w:t>
      </w:r>
      <w:r>
        <w:rPr>
          <w:rFonts w:ascii="仿宋" w:eastAsia="仿宋" w:hAnsi="仿宋" w:cs="仿宋" w:hint="eastAsia"/>
          <w:bCs/>
          <w:sz w:val="32"/>
          <w:szCs w:val="32"/>
        </w:rPr>
        <w:t>煤层卸压瓦斯技术，采用定向长钻孔抽采被保护层卸压瓦斯，同时拦截保护层开采期间被保护层工作面瓦斯涌入，替代底抽巷抽采被保护层卸压瓦斯</w:t>
      </w:r>
      <w:r>
        <w:rPr>
          <w:rFonts w:ascii="仿宋" w:eastAsia="仿宋" w:hAnsi="仿宋" w:cs="仿宋" w:hint="eastAsia"/>
          <w:bCs/>
          <w:sz w:val="32"/>
          <w:szCs w:val="32"/>
        </w:rPr>
        <w:t>技术，减少底抽巷瓦斯成本投入，降低卸压瓦斯抽采成本，提升卸压瓦斯抽采效率。明确底板定向长钻孔抽采二</w:t>
      </w:r>
      <w:r>
        <w:rPr>
          <w:rFonts w:ascii="仿宋" w:eastAsia="仿宋" w:hAnsi="仿宋" w:cs="仿宋" w:hint="eastAsia"/>
          <w:bCs/>
          <w:sz w:val="32"/>
          <w:szCs w:val="32"/>
          <w:vertAlign w:val="subscript"/>
        </w:rPr>
        <w:t>1</w:t>
      </w:r>
      <w:r>
        <w:rPr>
          <w:rFonts w:ascii="仿宋" w:eastAsia="仿宋" w:hAnsi="仿宋" w:cs="仿宋" w:hint="eastAsia"/>
          <w:bCs/>
          <w:sz w:val="32"/>
          <w:szCs w:val="32"/>
        </w:rPr>
        <w:t>煤层卸压瓦斯的有效性和适应性。</w:t>
      </w:r>
    </w:p>
    <w:p w:rsidR="000C0FD9" w:rsidRDefault="0020554D">
      <w:pPr>
        <w:pStyle w:val="UserStyle0"/>
        <w:spacing w:line="360" w:lineRule="auto"/>
        <w:ind w:leftChars="0" w:left="0"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发表项目相关期刊论文</w:t>
      </w:r>
      <w:r>
        <w:rPr>
          <w:rFonts w:ascii="仿宋" w:eastAsia="仿宋" w:hAnsi="仿宋" w:cs="仿宋" w:hint="eastAsia"/>
          <w:kern w:val="0"/>
          <w:sz w:val="32"/>
          <w:szCs w:val="32"/>
        </w:rPr>
        <w:t>2</w:t>
      </w:r>
      <w:r>
        <w:rPr>
          <w:rFonts w:ascii="仿宋" w:eastAsia="仿宋" w:hAnsi="仿宋" w:cs="仿宋" w:hint="eastAsia"/>
          <w:kern w:val="0"/>
          <w:sz w:val="32"/>
          <w:szCs w:val="32"/>
        </w:rPr>
        <w:t>篇以上。</w:t>
      </w:r>
    </w:p>
    <w:p w:rsidR="000C0FD9" w:rsidRDefault="0020554D">
      <w:pPr>
        <w:widowControl/>
        <w:spacing w:line="360" w:lineRule="auto"/>
        <w:ind w:firstLineChars="200" w:firstLine="640"/>
        <w:jc w:val="left"/>
        <w:rPr>
          <w:rFonts w:ascii="仿宋" w:eastAsia="仿宋" w:hAnsi="仿宋" w:cs="仿宋_GB2312"/>
          <w:sz w:val="32"/>
          <w:szCs w:val="32"/>
        </w:rPr>
      </w:pPr>
      <w:r>
        <w:rPr>
          <w:rFonts w:ascii="仿宋" w:eastAsia="仿宋" w:hAnsi="仿宋" w:cs="仿宋" w:hint="eastAsia"/>
          <w:kern w:val="0"/>
          <w:sz w:val="32"/>
          <w:szCs w:val="32"/>
        </w:rPr>
        <w:t>4.</w:t>
      </w:r>
      <w:r>
        <w:rPr>
          <w:rFonts w:ascii="仿宋" w:eastAsia="仿宋" w:hAnsi="仿宋" w:cs="仿宋_GB2312" w:hint="eastAsia"/>
          <w:sz w:val="32"/>
          <w:szCs w:val="32"/>
        </w:rPr>
        <w:t>科技创新成果通过第三方鉴定。</w:t>
      </w:r>
    </w:p>
    <w:p w:rsidR="000C0FD9" w:rsidRDefault="0020554D">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九、应用场景</w:t>
      </w:r>
    </w:p>
    <w:p w:rsidR="000C0FD9" w:rsidRDefault="0020554D">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开展二</w:t>
      </w:r>
      <w:r>
        <w:rPr>
          <w:rFonts w:ascii="仿宋" w:eastAsia="仿宋" w:hAnsi="仿宋" w:cs="仿宋" w:hint="eastAsia"/>
          <w:bCs/>
          <w:sz w:val="32"/>
          <w:szCs w:val="32"/>
          <w:vertAlign w:val="subscript"/>
        </w:rPr>
        <w:t>2</w:t>
      </w:r>
      <w:r>
        <w:rPr>
          <w:rFonts w:ascii="仿宋" w:eastAsia="仿宋" w:hAnsi="仿宋" w:cs="仿宋" w:hint="eastAsia"/>
          <w:bCs/>
          <w:sz w:val="32"/>
          <w:szCs w:val="32"/>
        </w:rPr>
        <w:t>煤层保护层底板定向长钻孔高效抽采二</w:t>
      </w:r>
      <w:r>
        <w:rPr>
          <w:rFonts w:ascii="仿宋" w:eastAsia="仿宋" w:hAnsi="仿宋" w:cs="仿宋" w:hint="eastAsia"/>
          <w:bCs/>
          <w:sz w:val="32"/>
          <w:szCs w:val="32"/>
          <w:vertAlign w:val="subscript"/>
        </w:rPr>
        <w:t>1</w:t>
      </w:r>
      <w:r>
        <w:rPr>
          <w:rFonts w:ascii="仿宋" w:eastAsia="仿宋" w:hAnsi="仿宋" w:cs="仿宋" w:hint="eastAsia"/>
          <w:bCs/>
          <w:sz w:val="32"/>
          <w:szCs w:val="32"/>
        </w:rPr>
        <w:t>煤层卸压瓦斯技术研究，可减少底抽巷瓦斯成本投入，降低卸压瓦斯抽采成本，提升卸压瓦斯抽采效率。若试验成功将为本矿</w:t>
      </w:r>
      <w:r>
        <w:rPr>
          <w:rFonts w:ascii="仿宋" w:eastAsia="仿宋" w:hAnsi="仿宋" w:cs="仿宋" w:hint="eastAsia"/>
          <w:bCs/>
          <w:sz w:val="32"/>
          <w:szCs w:val="32"/>
        </w:rPr>
        <w:lastRenderedPageBreak/>
        <w:t>甚至集团公司保护层开采瓦斯治理提供借鉴，具有广阔的市场推广前景。</w:t>
      </w:r>
    </w:p>
    <w:p w:rsidR="000C0FD9" w:rsidRDefault="000C0FD9">
      <w:pPr>
        <w:widowControl/>
        <w:spacing w:line="360" w:lineRule="auto"/>
        <w:ind w:firstLineChars="200" w:firstLine="640"/>
        <w:jc w:val="left"/>
        <w:rPr>
          <w:rFonts w:ascii="仿宋" w:eastAsia="仿宋" w:hAnsi="仿宋" w:cs="仿宋"/>
          <w:bCs/>
          <w:sz w:val="32"/>
          <w:szCs w:val="32"/>
        </w:rPr>
      </w:pPr>
      <w:bookmarkStart w:id="0" w:name="_GoBack"/>
      <w:bookmarkEnd w:id="0"/>
    </w:p>
    <w:sectPr w:rsidR="000C0FD9" w:rsidSect="000C0FD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DD8AB"/>
    <w:multiLevelType w:val="singleLevel"/>
    <w:tmpl w:val="09EDD8AB"/>
    <w:lvl w:ilvl="0">
      <w:start w:val="5"/>
      <w:numFmt w:val="chineseCounting"/>
      <w:suff w:val="nothing"/>
      <w:lvlText w:val="%1、"/>
      <w:lvlJc w:val="left"/>
      <w:rPr>
        <w:rFonts w:hint="eastAsia"/>
      </w:rPr>
    </w:lvl>
  </w:abstractNum>
  <w:abstractNum w:abstractNumId="1">
    <w:nsid w:val="42690AD6"/>
    <w:multiLevelType w:val="multilevel"/>
    <w:tmpl w:val="42690AD6"/>
    <w:lvl w:ilvl="0">
      <w:start w:val="4"/>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
  <w:docVars>
    <w:docVar w:name="commondata" w:val="eyJoZGlkIjoiNTIxYzE5N2IxNWZkMTFhNmZlZGQ0YmRiNGRhN2E5MjMifQ=="/>
  </w:docVars>
  <w:rsids>
    <w:rsidRoot w:val="2C211F54"/>
    <w:rsid w:val="0004612E"/>
    <w:rsid w:val="00095C99"/>
    <w:rsid w:val="000C0FD9"/>
    <w:rsid w:val="000C4CB3"/>
    <w:rsid w:val="001A5ABA"/>
    <w:rsid w:val="001B2F8C"/>
    <w:rsid w:val="001E1B05"/>
    <w:rsid w:val="0020511C"/>
    <w:rsid w:val="0020554D"/>
    <w:rsid w:val="002E1EC2"/>
    <w:rsid w:val="00314117"/>
    <w:rsid w:val="0039708B"/>
    <w:rsid w:val="003A356E"/>
    <w:rsid w:val="003B4A94"/>
    <w:rsid w:val="00412546"/>
    <w:rsid w:val="004B7406"/>
    <w:rsid w:val="00616B2E"/>
    <w:rsid w:val="0067635A"/>
    <w:rsid w:val="00711897"/>
    <w:rsid w:val="00727C1C"/>
    <w:rsid w:val="00790579"/>
    <w:rsid w:val="00857308"/>
    <w:rsid w:val="0086736C"/>
    <w:rsid w:val="00966524"/>
    <w:rsid w:val="009B4C9B"/>
    <w:rsid w:val="00A65A1A"/>
    <w:rsid w:val="00A70C13"/>
    <w:rsid w:val="00A77125"/>
    <w:rsid w:val="00B53DEE"/>
    <w:rsid w:val="00B6433B"/>
    <w:rsid w:val="00B863B0"/>
    <w:rsid w:val="00C32F45"/>
    <w:rsid w:val="00C358ED"/>
    <w:rsid w:val="00C6561D"/>
    <w:rsid w:val="00D741B3"/>
    <w:rsid w:val="00D8077F"/>
    <w:rsid w:val="00DA59ED"/>
    <w:rsid w:val="00DA6D5B"/>
    <w:rsid w:val="00DB42BD"/>
    <w:rsid w:val="00DB73E5"/>
    <w:rsid w:val="00DC13E7"/>
    <w:rsid w:val="00ED0F75"/>
    <w:rsid w:val="00F039E6"/>
    <w:rsid w:val="00FE7011"/>
    <w:rsid w:val="038A2B34"/>
    <w:rsid w:val="05842350"/>
    <w:rsid w:val="0627365A"/>
    <w:rsid w:val="07BC03BE"/>
    <w:rsid w:val="0A5A5514"/>
    <w:rsid w:val="0C9E2655"/>
    <w:rsid w:val="0CE628BA"/>
    <w:rsid w:val="15B5494D"/>
    <w:rsid w:val="1B8E0650"/>
    <w:rsid w:val="1BE717AC"/>
    <w:rsid w:val="20113B3F"/>
    <w:rsid w:val="2167010E"/>
    <w:rsid w:val="236B6EB3"/>
    <w:rsid w:val="2C211F54"/>
    <w:rsid w:val="30742780"/>
    <w:rsid w:val="310D500A"/>
    <w:rsid w:val="314D040F"/>
    <w:rsid w:val="31E22B3D"/>
    <w:rsid w:val="36B23DAA"/>
    <w:rsid w:val="39AF0057"/>
    <w:rsid w:val="41843A8C"/>
    <w:rsid w:val="44C52398"/>
    <w:rsid w:val="4B950124"/>
    <w:rsid w:val="507F55B1"/>
    <w:rsid w:val="50B53C71"/>
    <w:rsid w:val="551E1D72"/>
    <w:rsid w:val="56885373"/>
    <w:rsid w:val="582738CD"/>
    <w:rsid w:val="5AAC384D"/>
    <w:rsid w:val="60E741A7"/>
    <w:rsid w:val="622706A6"/>
    <w:rsid w:val="63657627"/>
    <w:rsid w:val="64CE2822"/>
    <w:rsid w:val="6C09010A"/>
    <w:rsid w:val="72DA1E24"/>
    <w:rsid w:val="73D70FC8"/>
    <w:rsid w:val="77BF75EA"/>
    <w:rsid w:val="78975968"/>
    <w:rsid w:val="79EA1421"/>
    <w:rsid w:val="7B05466C"/>
    <w:rsid w:val="7E543940"/>
    <w:rsid w:val="7F1B44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Indent" w:unhideWhenUsed="1" w:qFormat="1"/>
    <w:lsdException w:name="Subtitle" w:qFormat="1"/>
    <w:lsdException w:name="Body Text First Indent 2" w:qFormat="1"/>
    <w:lsdException w:name="Body Tex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UserStyle0"/>
    <w:qFormat/>
    <w:rsid w:val="000C0FD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serStyle0">
    <w:name w:val="UserStyle_0"/>
    <w:basedOn w:val="UserStyle1"/>
    <w:next w:val="UserStyle1"/>
    <w:qFormat/>
    <w:rsid w:val="000C0FD9"/>
    <w:pPr>
      <w:textAlignment w:val="baseline"/>
    </w:pPr>
  </w:style>
  <w:style w:type="paragraph" w:customStyle="1" w:styleId="UserStyle1">
    <w:name w:val="UserStyle_1"/>
    <w:basedOn w:val="NewNewNewNewNewNewNewNewNewNewNewNewNewNewNew"/>
    <w:next w:val="UserStyle2"/>
    <w:qFormat/>
    <w:rsid w:val="000C0FD9"/>
    <w:pPr>
      <w:spacing w:after="120"/>
      <w:ind w:leftChars="200" w:left="420"/>
    </w:pPr>
  </w:style>
  <w:style w:type="paragraph" w:customStyle="1" w:styleId="NewNewNewNewNewNewNewNewNewNewNewNewNewNewNew">
    <w:name w:val="正文 New New New New New New New New New New New New New New New"/>
    <w:next w:val="BodyTextFirstIndent22"/>
    <w:qFormat/>
    <w:rsid w:val="000C0FD9"/>
    <w:pPr>
      <w:widowControl w:val="0"/>
      <w:jc w:val="both"/>
    </w:pPr>
    <w:rPr>
      <w:kern w:val="2"/>
      <w:sz w:val="21"/>
      <w:szCs w:val="24"/>
    </w:rPr>
  </w:style>
  <w:style w:type="paragraph" w:customStyle="1" w:styleId="BodyTextFirstIndent22">
    <w:name w:val="Body Text First Indent 22"/>
    <w:basedOn w:val="BodyTextIndent2"/>
    <w:next w:val="2"/>
    <w:qFormat/>
    <w:rsid w:val="000C0FD9"/>
    <w:pPr>
      <w:ind w:firstLineChars="200" w:firstLine="420"/>
    </w:pPr>
  </w:style>
  <w:style w:type="paragraph" w:customStyle="1" w:styleId="BodyTextIndent2">
    <w:name w:val="Body Text Indent2"/>
    <w:basedOn w:val="a"/>
    <w:next w:val="index72"/>
    <w:qFormat/>
    <w:rsid w:val="000C0FD9"/>
    <w:pPr>
      <w:spacing w:after="120"/>
      <w:ind w:leftChars="200" w:left="420"/>
    </w:pPr>
  </w:style>
  <w:style w:type="paragraph" w:customStyle="1" w:styleId="index72">
    <w:name w:val="index 72"/>
    <w:basedOn w:val="a"/>
    <w:next w:val="NewNewNewNewNewNewNewNewNewNewNewNewNewNewNew"/>
    <w:qFormat/>
    <w:rsid w:val="000C0FD9"/>
    <w:pPr>
      <w:ind w:left="2520"/>
    </w:pPr>
  </w:style>
  <w:style w:type="paragraph" w:customStyle="1" w:styleId="2">
    <w:name w:val="正文首行缩进2"/>
    <w:basedOn w:val="NewNew"/>
    <w:next w:val="BodyTextFirstIndent22"/>
    <w:qFormat/>
    <w:rsid w:val="000C0FD9"/>
    <w:pPr>
      <w:ind w:firstLineChars="100" w:firstLine="420"/>
    </w:pPr>
  </w:style>
  <w:style w:type="paragraph" w:customStyle="1" w:styleId="NewNew">
    <w:name w:val="正文文本 New New"/>
    <w:basedOn w:val="NewNewNewNewNewNewNewNewNewNewNewNewNewNewNew"/>
    <w:next w:val="21"/>
    <w:qFormat/>
    <w:rsid w:val="000C0FD9"/>
    <w:pPr>
      <w:spacing w:after="120"/>
    </w:pPr>
  </w:style>
  <w:style w:type="paragraph" w:customStyle="1" w:styleId="21">
    <w:name w:val="正文文本 21"/>
    <w:basedOn w:val="NewNewNewNewNewNewNewNewNewNewNewNewNewNewNew"/>
    <w:qFormat/>
    <w:rsid w:val="000C0FD9"/>
    <w:pPr>
      <w:spacing w:after="120" w:line="480" w:lineRule="auto"/>
    </w:pPr>
    <w:rPr>
      <w:rFonts w:ascii="Arial" w:hAnsi="Arial"/>
    </w:rPr>
  </w:style>
  <w:style w:type="paragraph" w:customStyle="1" w:styleId="UserStyle2">
    <w:name w:val="UserStyle_2"/>
    <w:basedOn w:val="a"/>
    <w:next w:val="a"/>
    <w:qFormat/>
    <w:rsid w:val="000C0FD9"/>
    <w:pPr>
      <w:ind w:leftChars="1200" w:left="1200"/>
      <w:textAlignment w:val="baseline"/>
    </w:pPr>
  </w:style>
  <w:style w:type="paragraph" w:styleId="a3">
    <w:name w:val="annotation text"/>
    <w:basedOn w:val="a"/>
    <w:qFormat/>
    <w:rsid w:val="000C0FD9"/>
    <w:pPr>
      <w:jc w:val="left"/>
    </w:pPr>
  </w:style>
  <w:style w:type="paragraph" w:styleId="3">
    <w:name w:val="Body Text 3"/>
    <w:basedOn w:val="a"/>
    <w:qFormat/>
    <w:rsid w:val="000C0FD9"/>
    <w:pPr>
      <w:spacing w:line="440" w:lineRule="exact"/>
    </w:pPr>
    <w:rPr>
      <w:b/>
      <w:sz w:val="28"/>
      <w:szCs w:val="20"/>
    </w:rPr>
  </w:style>
  <w:style w:type="paragraph" w:styleId="a4">
    <w:name w:val="Body Text Indent"/>
    <w:basedOn w:val="a"/>
    <w:next w:val="a"/>
    <w:unhideWhenUsed/>
    <w:qFormat/>
    <w:rsid w:val="000C0FD9"/>
    <w:pPr>
      <w:spacing w:after="120"/>
      <w:ind w:leftChars="200" w:left="420"/>
    </w:pPr>
  </w:style>
  <w:style w:type="paragraph" w:styleId="a5">
    <w:name w:val="footer"/>
    <w:basedOn w:val="a"/>
    <w:link w:val="Char"/>
    <w:qFormat/>
    <w:rsid w:val="000C0FD9"/>
    <w:pPr>
      <w:tabs>
        <w:tab w:val="center" w:pos="4153"/>
        <w:tab w:val="right" w:pos="8306"/>
      </w:tabs>
      <w:snapToGrid w:val="0"/>
      <w:jc w:val="left"/>
    </w:pPr>
    <w:rPr>
      <w:sz w:val="18"/>
      <w:szCs w:val="18"/>
    </w:rPr>
  </w:style>
  <w:style w:type="paragraph" w:styleId="a6">
    <w:name w:val="header"/>
    <w:basedOn w:val="a"/>
    <w:link w:val="Char0"/>
    <w:qFormat/>
    <w:rsid w:val="000C0FD9"/>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0C0FD9"/>
    <w:rPr>
      <w:sz w:val="24"/>
    </w:rPr>
  </w:style>
  <w:style w:type="paragraph" w:styleId="20">
    <w:name w:val="Body Text First Indent 2"/>
    <w:basedOn w:val="a4"/>
    <w:qFormat/>
    <w:rsid w:val="000C0FD9"/>
    <w:pPr>
      <w:snapToGrid w:val="0"/>
      <w:ind w:firstLineChars="200" w:firstLine="420"/>
    </w:pPr>
    <w:rPr>
      <w:szCs w:val="24"/>
    </w:rPr>
  </w:style>
  <w:style w:type="character" w:customStyle="1" w:styleId="font101">
    <w:name w:val="font101"/>
    <w:qFormat/>
    <w:rsid w:val="000C0FD9"/>
    <w:rPr>
      <w:rFonts w:ascii="宋体" w:eastAsia="宋体" w:hAnsi="宋体" w:cs="宋体" w:hint="eastAsia"/>
      <w:color w:val="000000"/>
      <w:sz w:val="20"/>
      <w:szCs w:val="20"/>
      <w:u w:val="none"/>
    </w:rPr>
  </w:style>
  <w:style w:type="character" w:customStyle="1" w:styleId="Char0">
    <w:name w:val="页眉 Char"/>
    <w:basedOn w:val="a0"/>
    <w:link w:val="a6"/>
    <w:qFormat/>
    <w:rsid w:val="000C0FD9"/>
    <w:rPr>
      <w:rFonts w:asciiTheme="minorHAnsi" w:eastAsiaTheme="minorEastAsia" w:hAnsiTheme="minorHAnsi" w:cstheme="minorBidi"/>
      <w:kern w:val="2"/>
      <w:sz w:val="18"/>
      <w:szCs w:val="18"/>
    </w:rPr>
  </w:style>
  <w:style w:type="character" w:customStyle="1" w:styleId="Char">
    <w:name w:val="页脚 Char"/>
    <w:basedOn w:val="a0"/>
    <w:link w:val="a5"/>
    <w:qFormat/>
    <w:rsid w:val="000C0FD9"/>
    <w:rPr>
      <w:rFonts w:asciiTheme="minorHAnsi" w:eastAsiaTheme="minorEastAsia" w:hAnsiTheme="minorHAnsi" w:cstheme="minorBidi"/>
      <w:kern w:val="2"/>
      <w:sz w:val="18"/>
      <w:szCs w:val="18"/>
    </w:rPr>
  </w:style>
  <w:style w:type="paragraph" w:styleId="a8">
    <w:name w:val="List Paragraph"/>
    <w:basedOn w:val="a"/>
    <w:uiPriority w:val="99"/>
    <w:unhideWhenUsed/>
    <w:qFormat/>
    <w:rsid w:val="000C0FD9"/>
    <w:pPr>
      <w:ind w:firstLineChars="200" w:firstLine="420"/>
    </w:pPr>
  </w:style>
  <w:style w:type="character" w:customStyle="1" w:styleId="NormalCharacter">
    <w:name w:val="NormalCharacter"/>
    <w:semiHidden/>
    <w:qFormat/>
    <w:rsid w:val="000C0FD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晴天</dc:creator>
  <cp:lastModifiedBy>向浩</cp:lastModifiedBy>
  <cp:revision>25</cp:revision>
  <cp:lastPrinted>2025-04-09T00:35:00Z</cp:lastPrinted>
  <dcterms:created xsi:type="dcterms:W3CDTF">2024-04-02T02:16:00Z</dcterms:created>
  <dcterms:modified xsi:type="dcterms:W3CDTF">2025-05-07T00:56:00Z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4ACCF54B3EC84404A2AA9586D9AE5F0A_13</vt:lpwstr>
  </property>
  <property fmtid="{D5CDD505-2E9C-101B-9397-08002B2CF9AE}" pid="4" name="KSOTemplateDocerSaveRecord">
    <vt:lpwstr>eyJoZGlkIjoiMmFmYmQ2Yzg4MTVhYjEwMDMxMmQ2YmY3OGRkNzhjYzgiLCJ1c2VySWQiOiIzMjQ4MDQ3NTMifQ==</vt:lpwstr>
  </property>
</Properties>
</file>